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B878" w14:textId="77777777" w:rsidR="00D247A9" w:rsidRDefault="00D247A9" w:rsidP="00D247A9">
      <w:pPr>
        <w:spacing w:after="0" w:line="240" w:lineRule="auto"/>
        <w:rPr>
          <w:bCs/>
          <w:sz w:val="24"/>
          <w:szCs w:val="24"/>
          <w:lang w:val="en-AU"/>
        </w:rPr>
      </w:pPr>
    </w:p>
    <w:p w14:paraId="72E21E9C" w14:textId="77777777" w:rsidR="00C62F91" w:rsidRDefault="00C62F91" w:rsidP="00D247A9">
      <w:pPr>
        <w:spacing w:after="0" w:line="240" w:lineRule="auto"/>
        <w:rPr>
          <w:b/>
          <w:sz w:val="32"/>
          <w:szCs w:val="32"/>
          <w:lang w:val="en-AU"/>
        </w:rPr>
      </w:pPr>
    </w:p>
    <w:p w14:paraId="6007B724" w14:textId="77777777" w:rsidR="00C62F91" w:rsidRDefault="00C62F91" w:rsidP="00D247A9">
      <w:pPr>
        <w:spacing w:after="0" w:line="240" w:lineRule="auto"/>
        <w:rPr>
          <w:b/>
          <w:sz w:val="32"/>
          <w:szCs w:val="32"/>
          <w:lang w:val="en-AU"/>
        </w:rPr>
      </w:pPr>
    </w:p>
    <w:p w14:paraId="4B80EC41" w14:textId="77777777" w:rsidR="00C62F91" w:rsidRDefault="00C62F91" w:rsidP="00D247A9">
      <w:pPr>
        <w:spacing w:after="0" w:line="240" w:lineRule="auto"/>
        <w:rPr>
          <w:b/>
          <w:sz w:val="32"/>
          <w:szCs w:val="32"/>
          <w:lang w:val="en-AU"/>
        </w:rPr>
      </w:pPr>
    </w:p>
    <w:p w14:paraId="461772CC" w14:textId="77777777" w:rsidR="00C62F91" w:rsidRDefault="00C62F91" w:rsidP="00C62F91">
      <w:pPr>
        <w:spacing w:after="0" w:line="240" w:lineRule="auto"/>
        <w:rPr>
          <w:b/>
          <w:sz w:val="32"/>
          <w:szCs w:val="32"/>
          <w:lang w:val="en-AU"/>
        </w:rPr>
      </w:pPr>
    </w:p>
    <w:p w14:paraId="4C77F3CD" w14:textId="77777777" w:rsidR="00F813E6" w:rsidRDefault="00F813E6" w:rsidP="00F813E6">
      <w:pPr>
        <w:pStyle w:val="Default"/>
      </w:pPr>
    </w:p>
    <w:p w14:paraId="78B26D30" w14:textId="73D33C83" w:rsidR="00F813E6" w:rsidRPr="00B26D9E" w:rsidRDefault="00F813E6" w:rsidP="00350463">
      <w:pPr>
        <w:pStyle w:val="Default"/>
        <w:pBdr>
          <w:top w:val="single" w:sz="4" w:space="1" w:color="auto"/>
        </w:pBdr>
        <w:rPr>
          <w:sz w:val="36"/>
          <w:szCs w:val="36"/>
        </w:rPr>
      </w:pPr>
      <w:r>
        <w:rPr>
          <w:b/>
          <w:bCs/>
          <w:color w:val="252525"/>
          <w:sz w:val="36"/>
          <w:szCs w:val="36"/>
        </w:rPr>
        <w:t xml:space="preserve">Fourth Universal Periodic Review of New Zealand’s Human Rights Performance </w:t>
      </w:r>
    </w:p>
    <w:p w14:paraId="730C995B" w14:textId="77777777" w:rsidR="00B26D9E" w:rsidRDefault="00B26D9E" w:rsidP="00350463">
      <w:pPr>
        <w:pBdr>
          <w:bottom w:val="single" w:sz="4" w:space="1" w:color="auto"/>
        </w:pBdr>
        <w:spacing w:after="0" w:line="240" w:lineRule="auto"/>
        <w:rPr>
          <w:b/>
          <w:sz w:val="32"/>
          <w:szCs w:val="32"/>
        </w:rPr>
      </w:pPr>
    </w:p>
    <w:p w14:paraId="6ACAEDCA" w14:textId="77777777" w:rsidR="00350463" w:rsidRDefault="00350463" w:rsidP="00F813E6">
      <w:pPr>
        <w:spacing w:after="0" w:line="240" w:lineRule="auto"/>
        <w:rPr>
          <w:b/>
          <w:sz w:val="32"/>
          <w:szCs w:val="32"/>
          <w:lang w:val="en-AU"/>
        </w:rPr>
      </w:pPr>
    </w:p>
    <w:p w14:paraId="7E47C623" w14:textId="00EEF8C9" w:rsidR="00C62F91" w:rsidRDefault="00C62F91" w:rsidP="00F813E6">
      <w:pPr>
        <w:spacing w:after="0" w:line="240" w:lineRule="auto"/>
        <w:rPr>
          <w:b/>
          <w:sz w:val="32"/>
          <w:szCs w:val="32"/>
          <w:lang w:val="en-AU"/>
        </w:rPr>
      </w:pPr>
      <w:r w:rsidRPr="00C62F91">
        <w:rPr>
          <w:b/>
          <w:sz w:val="32"/>
          <w:szCs w:val="32"/>
          <w:lang w:val="en-AU"/>
        </w:rPr>
        <w:t xml:space="preserve">Submission </w:t>
      </w:r>
      <w:r w:rsidR="00F813E6">
        <w:rPr>
          <w:b/>
          <w:sz w:val="32"/>
          <w:szCs w:val="32"/>
          <w:lang w:val="en-AU"/>
        </w:rPr>
        <w:t>from the Inclusive Education Action Group</w:t>
      </w:r>
    </w:p>
    <w:p w14:paraId="400C5EC3" w14:textId="77777777" w:rsidR="00C62F91" w:rsidRDefault="00C62F91" w:rsidP="00C62F91">
      <w:pPr>
        <w:spacing w:after="0" w:line="240" w:lineRule="auto"/>
        <w:rPr>
          <w:b/>
          <w:sz w:val="32"/>
          <w:szCs w:val="32"/>
          <w:lang w:val="en-AU"/>
        </w:rPr>
      </w:pPr>
    </w:p>
    <w:p w14:paraId="22E60BB8" w14:textId="1986510B" w:rsidR="00C62F91" w:rsidRDefault="00F813E6" w:rsidP="00C62F91">
      <w:pPr>
        <w:spacing w:after="0" w:line="240" w:lineRule="auto"/>
        <w:rPr>
          <w:b/>
          <w:sz w:val="32"/>
          <w:szCs w:val="32"/>
          <w:lang w:val="en-AU"/>
        </w:rPr>
      </w:pPr>
      <w:r>
        <w:rPr>
          <w:b/>
          <w:sz w:val="32"/>
          <w:szCs w:val="32"/>
          <w:lang w:val="en-AU"/>
        </w:rPr>
        <w:t>11 October 2023</w:t>
      </w:r>
    </w:p>
    <w:p w14:paraId="699C15C1" w14:textId="77777777" w:rsidR="00C62F91" w:rsidRDefault="00C62F91" w:rsidP="00C62F91">
      <w:pPr>
        <w:spacing w:after="0" w:line="240" w:lineRule="auto"/>
        <w:rPr>
          <w:b/>
          <w:sz w:val="32"/>
          <w:szCs w:val="32"/>
          <w:lang w:val="en-AU"/>
        </w:rPr>
      </w:pPr>
    </w:p>
    <w:p w14:paraId="01D40BD9" w14:textId="77777777" w:rsidR="00C62F91" w:rsidRDefault="00C62F91" w:rsidP="00C62F91">
      <w:pPr>
        <w:spacing w:after="0" w:line="240" w:lineRule="auto"/>
        <w:rPr>
          <w:b/>
          <w:sz w:val="32"/>
          <w:szCs w:val="32"/>
          <w:lang w:val="en-AU"/>
        </w:rPr>
      </w:pPr>
    </w:p>
    <w:p w14:paraId="5FB1378C" w14:textId="77777777" w:rsidR="00C62F91" w:rsidRDefault="00C62F91" w:rsidP="00C62F91">
      <w:pPr>
        <w:spacing w:after="0" w:line="240" w:lineRule="auto"/>
        <w:rPr>
          <w:b/>
          <w:sz w:val="32"/>
          <w:szCs w:val="32"/>
          <w:lang w:val="en-AU"/>
        </w:rPr>
      </w:pPr>
    </w:p>
    <w:p w14:paraId="7E0CA39A" w14:textId="77777777" w:rsidR="003F25BC" w:rsidRDefault="003F25BC" w:rsidP="00C62F91">
      <w:pPr>
        <w:spacing w:after="0" w:line="240" w:lineRule="auto"/>
        <w:rPr>
          <w:b/>
          <w:sz w:val="32"/>
          <w:szCs w:val="32"/>
          <w:lang w:val="en-AU"/>
        </w:rPr>
      </w:pPr>
    </w:p>
    <w:p w14:paraId="38946324" w14:textId="77777777" w:rsidR="003F25BC" w:rsidRDefault="003F25BC" w:rsidP="00C62F91">
      <w:pPr>
        <w:spacing w:after="0" w:line="240" w:lineRule="auto"/>
        <w:rPr>
          <w:b/>
          <w:sz w:val="32"/>
          <w:szCs w:val="32"/>
          <w:lang w:val="en-AU"/>
        </w:rPr>
      </w:pPr>
    </w:p>
    <w:p w14:paraId="7DFEDA22" w14:textId="77777777" w:rsidR="003F25BC" w:rsidRDefault="003F25BC" w:rsidP="00C62F91">
      <w:pPr>
        <w:spacing w:after="0" w:line="240" w:lineRule="auto"/>
        <w:rPr>
          <w:b/>
          <w:sz w:val="32"/>
          <w:szCs w:val="32"/>
          <w:lang w:val="en-AU"/>
        </w:rPr>
      </w:pPr>
    </w:p>
    <w:p w14:paraId="59056A21" w14:textId="77777777" w:rsidR="003F25BC" w:rsidRDefault="003F25BC" w:rsidP="00C62F91">
      <w:pPr>
        <w:spacing w:after="0" w:line="240" w:lineRule="auto"/>
        <w:rPr>
          <w:b/>
          <w:sz w:val="32"/>
          <w:szCs w:val="32"/>
          <w:lang w:val="en-AU"/>
        </w:rPr>
      </w:pPr>
    </w:p>
    <w:p w14:paraId="113E990F" w14:textId="77777777" w:rsidR="003F25BC" w:rsidRDefault="003F25BC" w:rsidP="00C62F91">
      <w:pPr>
        <w:spacing w:after="0" w:line="240" w:lineRule="auto"/>
        <w:rPr>
          <w:b/>
          <w:sz w:val="32"/>
          <w:szCs w:val="32"/>
          <w:lang w:val="en-AU"/>
        </w:rPr>
      </w:pPr>
    </w:p>
    <w:p w14:paraId="10BC343A" w14:textId="77777777" w:rsidR="003F25BC" w:rsidRDefault="003F25BC" w:rsidP="00C62F91">
      <w:pPr>
        <w:spacing w:after="0" w:line="240" w:lineRule="auto"/>
        <w:rPr>
          <w:b/>
          <w:sz w:val="32"/>
          <w:szCs w:val="32"/>
          <w:lang w:val="en-AU"/>
        </w:rPr>
      </w:pPr>
    </w:p>
    <w:p w14:paraId="042C6EE7" w14:textId="77777777" w:rsidR="003F25BC" w:rsidRDefault="003F25BC" w:rsidP="00C62F91">
      <w:pPr>
        <w:spacing w:after="0" w:line="240" w:lineRule="auto"/>
        <w:rPr>
          <w:b/>
          <w:sz w:val="32"/>
          <w:szCs w:val="32"/>
          <w:lang w:val="en-AU"/>
        </w:rPr>
      </w:pPr>
    </w:p>
    <w:p w14:paraId="77BAA61F" w14:textId="77777777" w:rsidR="003F25BC" w:rsidRDefault="003F25BC" w:rsidP="00C62F91">
      <w:pPr>
        <w:spacing w:after="0" w:line="240" w:lineRule="auto"/>
        <w:rPr>
          <w:b/>
          <w:sz w:val="32"/>
          <w:szCs w:val="32"/>
          <w:lang w:val="en-AU"/>
        </w:rPr>
      </w:pPr>
    </w:p>
    <w:p w14:paraId="4B234E76" w14:textId="77777777" w:rsidR="003F25BC" w:rsidRDefault="003F25BC" w:rsidP="00C62F91">
      <w:pPr>
        <w:spacing w:after="0" w:line="240" w:lineRule="auto"/>
        <w:rPr>
          <w:b/>
          <w:sz w:val="32"/>
          <w:szCs w:val="32"/>
          <w:lang w:val="en-AU"/>
        </w:rPr>
      </w:pPr>
    </w:p>
    <w:p w14:paraId="35D17A4E" w14:textId="77777777" w:rsidR="00F813E6" w:rsidRDefault="00F813E6" w:rsidP="00C62F91">
      <w:pPr>
        <w:spacing w:after="0" w:line="240" w:lineRule="auto"/>
        <w:rPr>
          <w:b/>
          <w:sz w:val="32"/>
          <w:szCs w:val="32"/>
          <w:lang w:val="en-AU"/>
        </w:rPr>
      </w:pPr>
    </w:p>
    <w:p w14:paraId="25DB3157" w14:textId="77777777" w:rsidR="003F25BC" w:rsidRDefault="003F25BC" w:rsidP="00C62F91">
      <w:pPr>
        <w:spacing w:after="0" w:line="240" w:lineRule="auto"/>
        <w:rPr>
          <w:b/>
          <w:sz w:val="32"/>
          <w:szCs w:val="32"/>
          <w:lang w:val="en-AU"/>
        </w:rPr>
      </w:pPr>
    </w:p>
    <w:p w14:paraId="6607FC63" w14:textId="77777777" w:rsidR="003F25BC" w:rsidRDefault="003F25BC" w:rsidP="00C62F91">
      <w:pPr>
        <w:spacing w:after="0" w:line="240" w:lineRule="auto"/>
        <w:rPr>
          <w:b/>
          <w:sz w:val="32"/>
          <w:szCs w:val="32"/>
          <w:lang w:val="en-AU"/>
        </w:rPr>
      </w:pPr>
    </w:p>
    <w:p w14:paraId="17C6E584" w14:textId="77777777" w:rsidR="003F25BC" w:rsidRDefault="003F25BC" w:rsidP="00C62F91">
      <w:pPr>
        <w:spacing w:after="0" w:line="240" w:lineRule="auto"/>
        <w:rPr>
          <w:b/>
          <w:sz w:val="32"/>
          <w:szCs w:val="32"/>
          <w:lang w:val="en-AU"/>
        </w:rPr>
      </w:pPr>
    </w:p>
    <w:p w14:paraId="27AE4F62" w14:textId="77777777" w:rsidR="003F25BC" w:rsidRDefault="003F25BC" w:rsidP="00C62F91">
      <w:pPr>
        <w:spacing w:after="0" w:line="240" w:lineRule="auto"/>
        <w:rPr>
          <w:b/>
          <w:sz w:val="32"/>
          <w:szCs w:val="32"/>
          <w:lang w:val="en-AU"/>
        </w:rPr>
      </w:pPr>
    </w:p>
    <w:p w14:paraId="755B7D30" w14:textId="77777777" w:rsidR="003F25BC" w:rsidRDefault="003F25BC" w:rsidP="003F25BC">
      <w:pPr>
        <w:spacing w:after="0" w:line="240" w:lineRule="auto"/>
        <w:rPr>
          <w:bCs/>
          <w:sz w:val="24"/>
          <w:szCs w:val="24"/>
          <w:lang w:val="en-AU"/>
        </w:rPr>
      </w:pPr>
      <w:r w:rsidRPr="003F25BC">
        <w:rPr>
          <w:bCs/>
          <w:sz w:val="24"/>
          <w:szCs w:val="24"/>
          <w:lang w:val="en-AU"/>
        </w:rPr>
        <w:t xml:space="preserve">Contact person: </w:t>
      </w:r>
      <w:r>
        <w:rPr>
          <w:bCs/>
          <w:sz w:val="24"/>
          <w:szCs w:val="24"/>
          <w:lang w:val="en-AU"/>
        </w:rPr>
        <w:t>Heather Lear QSM</w:t>
      </w:r>
    </w:p>
    <w:p w14:paraId="5C525462" w14:textId="78AC78B8" w:rsidR="003F25BC" w:rsidRDefault="003F25BC" w:rsidP="003F25BC">
      <w:pPr>
        <w:spacing w:after="0" w:line="240" w:lineRule="auto"/>
        <w:rPr>
          <w:bCs/>
          <w:sz w:val="24"/>
          <w:szCs w:val="24"/>
          <w:lang w:val="en-AU"/>
        </w:rPr>
      </w:pPr>
      <w:r>
        <w:rPr>
          <w:bCs/>
          <w:sz w:val="24"/>
          <w:szCs w:val="24"/>
          <w:lang w:val="en-AU"/>
        </w:rPr>
        <w:t xml:space="preserve">                              </w:t>
      </w:r>
      <w:hyperlink r:id="rId8" w:history="1">
        <w:r w:rsidRPr="001A153E">
          <w:rPr>
            <w:rStyle w:val="Hyperlink"/>
            <w:bCs/>
            <w:sz w:val="24"/>
            <w:szCs w:val="24"/>
            <w:lang w:val="en-AU"/>
          </w:rPr>
          <w:t>hello@ieag.org.nz</w:t>
        </w:r>
      </w:hyperlink>
    </w:p>
    <w:p w14:paraId="5E33720F" w14:textId="06115620" w:rsidR="00CC580E" w:rsidRDefault="00CC580E">
      <w:pPr>
        <w:spacing w:after="0" w:line="240" w:lineRule="auto"/>
        <w:rPr>
          <w:bCs/>
          <w:sz w:val="24"/>
          <w:szCs w:val="24"/>
          <w:lang w:val="en-AU"/>
        </w:rPr>
      </w:pPr>
    </w:p>
    <w:p w14:paraId="0549A46E" w14:textId="77777777" w:rsidR="00F813E6" w:rsidRDefault="00F813E6" w:rsidP="00F813E6">
      <w:pPr>
        <w:pStyle w:val="ListParagraph"/>
        <w:spacing w:after="0" w:line="240" w:lineRule="auto"/>
        <w:ind w:left="360"/>
        <w:rPr>
          <w:bCs/>
          <w:sz w:val="24"/>
          <w:szCs w:val="24"/>
          <w:lang w:val="en-AU"/>
        </w:rPr>
      </w:pPr>
    </w:p>
    <w:p w14:paraId="6716884C" w14:textId="56A734FE" w:rsidR="00F813E6" w:rsidRDefault="00F813E6" w:rsidP="00F813E6">
      <w:pPr>
        <w:pStyle w:val="ListParagraph"/>
        <w:spacing w:after="0" w:line="240" w:lineRule="auto"/>
        <w:ind w:left="360"/>
        <w:rPr>
          <w:bCs/>
          <w:sz w:val="24"/>
          <w:szCs w:val="24"/>
          <w:lang w:val="en-AU"/>
        </w:rPr>
      </w:pPr>
    </w:p>
    <w:p w14:paraId="2A6C534D" w14:textId="77777777" w:rsidR="00F813E6" w:rsidRDefault="00F813E6" w:rsidP="00F813E6">
      <w:pPr>
        <w:pStyle w:val="ListParagraph"/>
        <w:spacing w:after="0" w:line="240" w:lineRule="auto"/>
        <w:ind w:left="360"/>
        <w:rPr>
          <w:bCs/>
          <w:sz w:val="24"/>
          <w:szCs w:val="24"/>
          <w:lang w:val="en-AU"/>
        </w:rPr>
      </w:pPr>
    </w:p>
    <w:p w14:paraId="7F2C5621" w14:textId="77777777" w:rsidR="000C3F8C" w:rsidRDefault="000C3F8C" w:rsidP="00F813E6">
      <w:pPr>
        <w:jc w:val="both"/>
        <w:rPr>
          <w:rFonts w:ascii="Arial" w:eastAsia="Times New Roman" w:hAnsi="Arial"/>
          <w:b/>
        </w:rPr>
      </w:pPr>
    </w:p>
    <w:p w14:paraId="773A4A72" w14:textId="6EE5C10F" w:rsidR="00F813E6" w:rsidRPr="00785204" w:rsidRDefault="00F813E6" w:rsidP="00F813E6">
      <w:pPr>
        <w:jc w:val="both"/>
        <w:rPr>
          <w:rFonts w:ascii="Arial" w:eastAsia="Times New Roman" w:hAnsi="Arial"/>
          <w:b/>
        </w:rPr>
      </w:pPr>
      <w:r w:rsidRPr="00785204">
        <w:rPr>
          <w:rFonts w:ascii="Arial" w:eastAsia="Times New Roman" w:hAnsi="Arial"/>
          <w:b/>
        </w:rPr>
        <w:t xml:space="preserve">About the Inclusive Education Action Group: </w:t>
      </w:r>
    </w:p>
    <w:p w14:paraId="1246EAA8" w14:textId="6858386D" w:rsidR="00F813E6" w:rsidRPr="00087A6D" w:rsidRDefault="00951392" w:rsidP="00F43A4D">
      <w:pPr>
        <w:pStyle w:val="NoSpacing"/>
        <w:numPr>
          <w:ilvl w:val="0"/>
          <w:numId w:val="4"/>
        </w:numPr>
        <w:spacing w:line="276" w:lineRule="auto"/>
        <w:jc w:val="both"/>
      </w:pPr>
      <w:r w:rsidRPr="00087A6D">
        <w:t>The Inclusive Education Action Group Incorporated (</w:t>
      </w:r>
      <w:r w:rsidR="00F813E6" w:rsidRPr="00087A6D">
        <w:t>IEAG</w:t>
      </w:r>
      <w:r w:rsidRPr="00087A6D">
        <w:t>)</w:t>
      </w:r>
      <w:r w:rsidR="00F813E6" w:rsidRPr="00087A6D">
        <w:t xml:space="preserve"> was established as a registered charity in 2008 by a group of disabled people, parents, education professionals, academics, researchers, and disability advocates committed to children’s rights. At the time, too many disabled children, young people and their parents and whanau were experiencing exclusion and discrimination in their local schools. In 2023, disabled children and young people continue to experience exclusion and discrimination. As an organisation we advocate at both an individual </w:t>
      </w:r>
      <w:r w:rsidR="003F59B3">
        <w:t xml:space="preserve">and systemic </w:t>
      </w:r>
      <w:r w:rsidR="00F813E6" w:rsidRPr="00087A6D">
        <w:t>level</w:t>
      </w:r>
      <w:r w:rsidR="005D3FF1" w:rsidRPr="00087A6D">
        <w:t xml:space="preserve">. We </w:t>
      </w:r>
      <w:r w:rsidR="00F813E6" w:rsidRPr="00087A6D">
        <w:t>provid</w:t>
      </w:r>
      <w:r w:rsidR="005D3FF1" w:rsidRPr="00087A6D">
        <w:t>e</w:t>
      </w:r>
      <w:r w:rsidR="00F813E6" w:rsidRPr="00087A6D">
        <w:t xml:space="preserve"> </w:t>
      </w:r>
      <w:r w:rsidR="005D3FF1" w:rsidRPr="00087A6D">
        <w:t xml:space="preserve">advocacy </w:t>
      </w:r>
      <w:r w:rsidR="00F813E6" w:rsidRPr="00087A6D">
        <w:t xml:space="preserve">support and information </w:t>
      </w:r>
      <w:r w:rsidRPr="00087A6D">
        <w:t xml:space="preserve">to disabled people </w:t>
      </w:r>
      <w:r w:rsidR="005D3FF1" w:rsidRPr="00087A6D">
        <w:t>and their families</w:t>
      </w:r>
      <w:r w:rsidR="00F813E6" w:rsidRPr="00087A6D">
        <w:t xml:space="preserve">, </w:t>
      </w:r>
      <w:r w:rsidR="00E76A19" w:rsidRPr="00087A6D">
        <w:t>educators,</w:t>
      </w:r>
      <w:r w:rsidR="005D3FF1" w:rsidRPr="00087A6D">
        <w:t xml:space="preserve"> and others on promoting and enacting education rights</w:t>
      </w:r>
      <w:r w:rsidR="00813D87">
        <w:t>.</w:t>
      </w:r>
      <w:r w:rsidR="00F813E6" w:rsidRPr="00087A6D">
        <w:t xml:space="preserve"> </w:t>
      </w:r>
      <w:r w:rsidR="005D3FF1" w:rsidRPr="00087A6D">
        <w:t>A</w:t>
      </w:r>
      <w:r w:rsidR="00F813E6" w:rsidRPr="00087A6D">
        <w:t>t</w:t>
      </w:r>
      <w:r w:rsidR="00813D87">
        <w:t xml:space="preserve"> </w:t>
      </w:r>
      <w:r w:rsidR="00F813E6" w:rsidRPr="00087A6D">
        <w:t xml:space="preserve">a systemic level, </w:t>
      </w:r>
      <w:r w:rsidR="005D3FF1" w:rsidRPr="00087A6D">
        <w:t xml:space="preserve">we </w:t>
      </w:r>
      <w:r w:rsidR="00F813E6" w:rsidRPr="00087A6D">
        <w:t>advocat</w:t>
      </w:r>
      <w:r w:rsidR="005D3FF1" w:rsidRPr="00087A6D">
        <w:t>e</w:t>
      </w:r>
      <w:r w:rsidR="00F813E6" w:rsidRPr="00087A6D">
        <w:t xml:space="preserve"> for social change within school communities</w:t>
      </w:r>
      <w:r w:rsidR="005D3FF1" w:rsidRPr="00087A6D">
        <w:t xml:space="preserve">, </w:t>
      </w:r>
      <w:r w:rsidR="00F813E6" w:rsidRPr="00087A6D">
        <w:t xml:space="preserve">the education </w:t>
      </w:r>
      <w:r w:rsidR="00E76A19" w:rsidRPr="00087A6D">
        <w:t>system,</w:t>
      </w:r>
      <w:r w:rsidR="005D3FF1" w:rsidRPr="00087A6D">
        <w:t xml:space="preserve"> and Aotearoa New Zealand society</w:t>
      </w:r>
      <w:r w:rsidR="00F813E6" w:rsidRPr="00087A6D">
        <w:t>.</w:t>
      </w:r>
    </w:p>
    <w:p w14:paraId="45A4F098" w14:textId="77777777" w:rsidR="00F813E6" w:rsidRPr="00087A6D" w:rsidRDefault="00F813E6" w:rsidP="00F43A4D">
      <w:pPr>
        <w:pStyle w:val="NoSpacing"/>
        <w:spacing w:line="276" w:lineRule="auto"/>
        <w:ind w:left="360"/>
        <w:jc w:val="both"/>
      </w:pPr>
    </w:p>
    <w:p w14:paraId="63AECE95" w14:textId="77777777" w:rsidR="00F813E6" w:rsidRPr="00087A6D" w:rsidRDefault="00F813E6" w:rsidP="00F43A4D">
      <w:pPr>
        <w:pStyle w:val="NoSpacing"/>
        <w:numPr>
          <w:ilvl w:val="0"/>
          <w:numId w:val="4"/>
        </w:numPr>
        <w:spacing w:line="276" w:lineRule="auto"/>
        <w:jc w:val="both"/>
      </w:pPr>
      <w:r w:rsidRPr="00087A6D">
        <w:t xml:space="preserve">Schools play a vital role in promoting social cohesion and the development of inclusive communities. We believe that an inclusive education system is the foundation for building an inclusive Aotearoa New Zealand. Our vision for “the education system” is one where all disabled students have equitable access to and outcomes from education, where diversity is valued and where all students are contributing citizens. In our work we aim to change laws, policies, practices, and attitudes, so that every student is welcomed, has a sense of belonging and can access the support they need to participate and achieve to their full potential at their local school. Our work is underpinned by New Zealand and international research, New Zealand law and our international human rights obligations including under Te Tiriti o Waitangi, the United Nations Convention on the Rights of the Child (CRC) and United Nations Convention on the Rights of People with Disabilities (CRPD).  </w:t>
      </w:r>
    </w:p>
    <w:p w14:paraId="33CAD2CF" w14:textId="00A80EA8" w:rsidR="00F813E6" w:rsidRPr="00087A6D" w:rsidRDefault="00F813E6" w:rsidP="00F43A4D">
      <w:pPr>
        <w:spacing w:after="0"/>
        <w:jc w:val="both"/>
        <w:rPr>
          <w:bCs/>
          <w:lang w:val="en-AU"/>
        </w:rPr>
      </w:pPr>
    </w:p>
    <w:p w14:paraId="0E8D0268" w14:textId="77777777" w:rsidR="00F813E6" w:rsidRDefault="00F813E6" w:rsidP="00F43A4D">
      <w:pPr>
        <w:pStyle w:val="ListParagraph"/>
        <w:spacing w:after="0"/>
        <w:ind w:left="360"/>
        <w:jc w:val="both"/>
        <w:rPr>
          <w:b/>
          <w:sz w:val="24"/>
          <w:szCs w:val="24"/>
          <w:lang w:val="en-AU"/>
        </w:rPr>
      </w:pPr>
    </w:p>
    <w:p w14:paraId="2B9D8A38" w14:textId="77777777" w:rsidR="00633401" w:rsidRDefault="00633401" w:rsidP="00F43A4D">
      <w:pPr>
        <w:pStyle w:val="ListParagraph"/>
        <w:spacing w:after="0"/>
        <w:ind w:left="360"/>
        <w:jc w:val="both"/>
        <w:rPr>
          <w:b/>
          <w:sz w:val="24"/>
          <w:szCs w:val="24"/>
          <w:lang w:val="en-AU"/>
        </w:rPr>
      </w:pPr>
    </w:p>
    <w:p w14:paraId="193183AD" w14:textId="77777777" w:rsidR="00633401" w:rsidRDefault="00633401" w:rsidP="00F43A4D">
      <w:pPr>
        <w:pStyle w:val="ListParagraph"/>
        <w:spacing w:after="0"/>
        <w:ind w:left="360"/>
        <w:jc w:val="both"/>
        <w:rPr>
          <w:b/>
          <w:sz w:val="24"/>
          <w:szCs w:val="24"/>
          <w:lang w:val="en-AU"/>
        </w:rPr>
      </w:pPr>
    </w:p>
    <w:p w14:paraId="4852877C" w14:textId="77777777" w:rsidR="00633401" w:rsidRDefault="00633401" w:rsidP="00F43A4D">
      <w:pPr>
        <w:pStyle w:val="ListParagraph"/>
        <w:spacing w:after="0"/>
        <w:ind w:left="360"/>
        <w:jc w:val="both"/>
        <w:rPr>
          <w:b/>
          <w:sz w:val="24"/>
          <w:szCs w:val="24"/>
          <w:lang w:val="en-AU"/>
        </w:rPr>
      </w:pPr>
    </w:p>
    <w:p w14:paraId="10E8D9AE" w14:textId="77777777" w:rsidR="00633401" w:rsidRDefault="00633401" w:rsidP="00F43A4D">
      <w:pPr>
        <w:pStyle w:val="ListParagraph"/>
        <w:spacing w:after="0"/>
        <w:ind w:left="360"/>
        <w:jc w:val="both"/>
        <w:rPr>
          <w:b/>
          <w:sz w:val="24"/>
          <w:szCs w:val="24"/>
          <w:lang w:val="en-AU"/>
        </w:rPr>
      </w:pPr>
    </w:p>
    <w:p w14:paraId="52744068" w14:textId="77777777" w:rsidR="00633401" w:rsidRDefault="00633401" w:rsidP="00F43A4D">
      <w:pPr>
        <w:pStyle w:val="ListParagraph"/>
        <w:spacing w:after="0"/>
        <w:ind w:left="360"/>
        <w:jc w:val="both"/>
        <w:rPr>
          <w:b/>
          <w:sz w:val="24"/>
          <w:szCs w:val="24"/>
          <w:lang w:val="en-AU"/>
        </w:rPr>
      </w:pPr>
    </w:p>
    <w:p w14:paraId="7EDAC886" w14:textId="77777777" w:rsidR="00633401" w:rsidRDefault="00633401" w:rsidP="00F43A4D">
      <w:pPr>
        <w:pStyle w:val="ListParagraph"/>
        <w:spacing w:after="0"/>
        <w:ind w:left="360"/>
        <w:jc w:val="both"/>
        <w:rPr>
          <w:b/>
          <w:sz w:val="24"/>
          <w:szCs w:val="24"/>
          <w:lang w:val="en-AU"/>
        </w:rPr>
      </w:pPr>
    </w:p>
    <w:p w14:paraId="354F6AA6" w14:textId="77777777" w:rsidR="00633401" w:rsidRDefault="00633401" w:rsidP="00F43A4D">
      <w:pPr>
        <w:pStyle w:val="ListParagraph"/>
        <w:spacing w:after="0"/>
        <w:ind w:left="360"/>
        <w:jc w:val="both"/>
        <w:rPr>
          <w:b/>
          <w:sz w:val="24"/>
          <w:szCs w:val="24"/>
          <w:lang w:val="en-AU"/>
        </w:rPr>
      </w:pPr>
    </w:p>
    <w:p w14:paraId="203674B3" w14:textId="77777777" w:rsidR="00633401" w:rsidRDefault="00633401" w:rsidP="00F43A4D">
      <w:pPr>
        <w:pStyle w:val="ListParagraph"/>
        <w:spacing w:after="0"/>
        <w:ind w:left="360"/>
        <w:jc w:val="both"/>
        <w:rPr>
          <w:b/>
          <w:sz w:val="24"/>
          <w:szCs w:val="24"/>
          <w:lang w:val="en-AU"/>
        </w:rPr>
      </w:pPr>
    </w:p>
    <w:p w14:paraId="61DBBBFD" w14:textId="77777777" w:rsidR="00633401" w:rsidRDefault="00633401" w:rsidP="00F43A4D">
      <w:pPr>
        <w:pStyle w:val="ListParagraph"/>
        <w:spacing w:after="0"/>
        <w:ind w:left="360"/>
        <w:jc w:val="both"/>
        <w:rPr>
          <w:b/>
          <w:sz w:val="24"/>
          <w:szCs w:val="24"/>
          <w:lang w:val="en-AU"/>
        </w:rPr>
      </w:pPr>
    </w:p>
    <w:p w14:paraId="1C65BBCA" w14:textId="77777777" w:rsidR="00633401" w:rsidRDefault="00633401" w:rsidP="00F43A4D">
      <w:pPr>
        <w:pStyle w:val="ListParagraph"/>
        <w:spacing w:after="0"/>
        <w:ind w:left="360"/>
        <w:jc w:val="both"/>
        <w:rPr>
          <w:b/>
          <w:sz w:val="24"/>
          <w:szCs w:val="24"/>
          <w:lang w:val="en-AU"/>
        </w:rPr>
      </w:pPr>
    </w:p>
    <w:p w14:paraId="4AB8E45B" w14:textId="77777777" w:rsidR="00633401" w:rsidRDefault="00633401" w:rsidP="00F43A4D">
      <w:pPr>
        <w:pStyle w:val="ListParagraph"/>
        <w:spacing w:after="0"/>
        <w:ind w:left="360"/>
        <w:jc w:val="both"/>
        <w:rPr>
          <w:b/>
          <w:sz w:val="24"/>
          <w:szCs w:val="24"/>
          <w:lang w:val="en-AU"/>
        </w:rPr>
      </w:pPr>
    </w:p>
    <w:p w14:paraId="293F7E88" w14:textId="77777777" w:rsidR="00633401" w:rsidRDefault="00633401" w:rsidP="00F43A4D">
      <w:pPr>
        <w:pStyle w:val="ListParagraph"/>
        <w:spacing w:after="0"/>
        <w:ind w:left="360"/>
        <w:jc w:val="both"/>
        <w:rPr>
          <w:b/>
          <w:sz w:val="24"/>
          <w:szCs w:val="24"/>
          <w:lang w:val="en-AU"/>
        </w:rPr>
      </w:pPr>
    </w:p>
    <w:p w14:paraId="264CA7C8" w14:textId="77777777" w:rsidR="00633401" w:rsidRDefault="00633401" w:rsidP="00F43A4D">
      <w:pPr>
        <w:pStyle w:val="ListParagraph"/>
        <w:spacing w:after="0"/>
        <w:ind w:left="360"/>
        <w:jc w:val="both"/>
        <w:rPr>
          <w:b/>
          <w:sz w:val="24"/>
          <w:szCs w:val="24"/>
          <w:lang w:val="en-AU"/>
        </w:rPr>
      </w:pPr>
    </w:p>
    <w:p w14:paraId="13DC0AC6" w14:textId="77777777" w:rsidR="00633401" w:rsidRDefault="00633401" w:rsidP="00F43A4D">
      <w:pPr>
        <w:pStyle w:val="ListParagraph"/>
        <w:spacing w:after="0"/>
        <w:ind w:left="360"/>
        <w:jc w:val="both"/>
        <w:rPr>
          <w:b/>
          <w:sz w:val="24"/>
          <w:szCs w:val="24"/>
          <w:lang w:val="en-AU"/>
        </w:rPr>
      </w:pPr>
    </w:p>
    <w:p w14:paraId="45CC186D" w14:textId="77777777" w:rsidR="00633401" w:rsidRDefault="00633401" w:rsidP="00F43A4D">
      <w:pPr>
        <w:pStyle w:val="ListParagraph"/>
        <w:spacing w:after="0"/>
        <w:ind w:left="360"/>
        <w:jc w:val="both"/>
        <w:rPr>
          <w:b/>
          <w:sz w:val="24"/>
          <w:szCs w:val="24"/>
          <w:lang w:val="en-AU"/>
        </w:rPr>
      </w:pPr>
    </w:p>
    <w:p w14:paraId="2CA8855C" w14:textId="77777777" w:rsidR="00633401" w:rsidRDefault="00633401" w:rsidP="00F43A4D">
      <w:pPr>
        <w:pStyle w:val="ListParagraph"/>
        <w:spacing w:after="0"/>
        <w:ind w:left="360"/>
        <w:jc w:val="both"/>
        <w:rPr>
          <w:b/>
          <w:sz w:val="24"/>
          <w:szCs w:val="24"/>
          <w:lang w:val="en-AU"/>
        </w:rPr>
      </w:pPr>
    </w:p>
    <w:p w14:paraId="1D6640CA" w14:textId="77777777" w:rsidR="00633401" w:rsidRDefault="00633401" w:rsidP="00F43A4D">
      <w:pPr>
        <w:pStyle w:val="ListParagraph"/>
        <w:spacing w:after="0"/>
        <w:ind w:left="360"/>
        <w:jc w:val="both"/>
        <w:rPr>
          <w:b/>
          <w:sz w:val="24"/>
          <w:szCs w:val="24"/>
          <w:lang w:val="en-AU"/>
        </w:rPr>
      </w:pPr>
    </w:p>
    <w:p w14:paraId="30C577B2" w14:textId="77777777" w:rsidR="00633401" w:rsidRDefault="00633401" w:rsidP="00F43A4D">
      <w:pPr>
        <w:pStyle w:val="ListParagraph"/>
        <w:spacing w:after="0"/>
        <w:ind w:left="360"/>
        <w:jc w:val="both"/>
        <w:rPr>
          <w:b/>
          <w:sz w:val="24"/>
          <w:szCs w:val="24"/>
          <w:lang w:val="en-AU"/>
        </w:rPr>
      </w:pPr>
    </w:p>
    <w:p w14:paraId="15341C6E" w14:textId="77777777" w:rsidR="00633401" w:rsidRPr="008A74D0" w:rsidRDefault="00633401" w:rsidP="00F43A4D">
      <w:pPr>
        <w:pStyle w:val="ListParagraph"/>
        <w:spacing w:after="0"/>
        <w:ind w:left="360"/>
        <w:jc w:val="both"/>
        <w:rPr>
          <w:b/>
          <w:sz w:val="24"/>
          <w:szCs w:val="24"/>
          <w:lang w:val="en-AU"/>
        </w:rPr>
      </w:pPr>
    </w:p>
    <w:p w14:paraId="1D676778" w14:textId="558406AF" w:rsidR="00CC580E" w:rsidRPr="008528B9" w:rsidRDefault="009774A4" w:rsidP="00F43A4D">
      <w:pPr>
        <w:spacing w:after="0"/>
        <w:jc w:val="both"/>
        <w:rPr>
          <w:b/>
          <w:lang w:val="en-AU"/>
        </w:rPr>
      </w:pPr>
      <w:r w:rsidRPr="008528B9">
        <w:rPr>
          <w:b/>
          <w:lang w:val="en-AU"/>
        </w:rPr>
        <w:t>Introduction</w:t>
      </w:r>
      <w:r w:rsidR="00624DEF" w:rsidRPr="008528B9">
        <w:rPr>
          <w:b/>
          <w:lang w:val="en-AU"/>
        </w:rPr>
        <w:t xml:space="preserve"> </w:t>
      </w:r>
    </w:p>
    <w:p w14:paraId="2DF23C26" w14:textId="77777777" w:rsidR="009774A4" w:rsidRPr="008528B9" w:rsidRDefault="009774A4" w:rsidP="00F43A4D">
      <w:pPr>
        <w:spacing w:after="0"/>
        <w:jc w:val="both"/>
        <w:rPr>
          <w:bCs/>
          <w:lang w:val="en-AU"/>
        </w:rPr>
      </w:pPr>
    </w:p>
    <w:p w14:paraId="19BD3220" w14:textId="3A46D3EA" w:rsidR="004A6638" w:rsidRPr="008528B9" w:rsidRDefault="004A6638" w:rsidP="00F43A4D">
      <w:pPr>
        <w:pStyle w:val="ListParagraph"/>
        <w:numPr>
          <w:ilvl w:val="0"/>
          <w:numId w:val="4"/>
        </w:numPr>
        <w:spacing w:after="0"/>
        <w:jc w:val="both"/>
        <w:rPr>
          <w:bCs/>
          <w:lang w:val="en-AU"/>
        </w:rPr>
      </w:pPr>
      <w:r w:rsidRPr="008528B9">
        <w:rPr>
          <w:bCs/>
          <w:lang w:val="en-AU"/>
        </w:rPr>
        <w:t xml:space="preserve">IEAG welcomes the opportunity to provide </w:t>
      </w:r>
      <w:r w:rsidR="00E76A19">
        <w:rPr>
          <w:bCs/>
          <w:lang w:val="en-AU"/>
        </w:rPr>
        <w:t xml:space="preserve">this </w:t>
      </w:r>
      <w:r w:rsidR="00E76A19" w:rsidRPr="008528B9">
        <w:rPr>
          <w:bCs/>
          <w:lang w:val="en-AU"/>
        </w:rPr>
        <w:t>submission</w:t>
      </w:r>
      <w:r w:rsidRPr="008528B9">
        <w:rPr>
          <w:bCs/>
          <w:lang w:val="en-AU"/>
        </w:rPr>
        <w:t xml:space="preserve"> </w:t>
      </w:r>
      <w:r w:rsidR="00BD6AF7">
        <w:rPr>
          <w:bCs/>
          <w:lang w:val="en-AU"/>
        </w:rPr>
        <w:t>on</w:t>
      </w:r>
      <w:r w:rsidR="00951392" w:rsidRPr="008528B9">
        <w:rPr>
          <w:bCs/>
          <w:lang w:val="en-AU"/>
        </w:rPr>
        <w:t xml:space="preserve"> New Zealand’s 4</w:t>
      </w:r>
      <w:r w:rsidR="00951392" w:rsidRPr="008528B9">
        <w:rPr>
          <w:bCs/>
          <w:vertAlign w:val="superscript"/>
          <w:lang w:val="en-AU"/>
        </w:rPr>
        <w:t>th</w:t>
      </w:r>
      <w:r w:rsidR="00951392" w:rsidRPr="008528B9">
        <w:rPr>
          <w:bCs/>
          <w:lang w:val="en-AU"/>
        </w:rPr>
        <w:t xml:space="preserve"> Universal Periodic Review (UPR)</w:t>
      </w:r>
      <w:r w:rsidR="008A74D0" w:rsidRPr="008528B9">
        <w:rPr>
          <w:bCs/>
          <w:lang w:val="en-AU"/>
        </w:rPr>
        <w:t>.</w:t>
      </w:r>
    </w:p>
    <w:p w14:paraId="2B286A27" w14:textId="77777777" w:rsidR="00CF1D30" w:rsidRPr="008528B9" w:rsidRDefault="00CF1D30" w:rsidP="00F43A4D">
      <w:pPr>
        <w:spacing w:after="0"/>
        <w:jc w:val="both"/>
        <w:rPr>
          <w:bCs/>
          <w:lang w:val="en-AU"/>
        </w:rPr>
      </w:pPr>
    </w:p>
    <w:p w14:paraId="23F9FA44" w14:textId="5342F77C" w:rsidR="00633401" w:rsidRPr="008528B9" w:rsidRDefault="00CF1D30" w:rsidP="00F43A4D">
      <w:pPr>
        <w:spacing w:after="0"/>
        <w:jc w:val="both"/>
        <w:rPr>
          <w:b/>
          <w:lang w:val="en-AU"/>
        </w:rPr>
      </w:pPr>
      <w:r w:rsidRPr="008528B9">
        <w:rPr>
          <w:b/>
          <w:lang w:val="en-AU"/>
        </w:rPr>
        <w:t xml:space="preserve">Summary of Recommendations </w:t>
      </w:r>
    </w:p>
    <w:p w14:paraId="48C5B1A1" w14:textId="762595DB" w:rsidR="00F517B2" w:rsidRPr="00720FCA" w:rsidRDefault="00F517B2" w:rsidP="00F43A4D">
      <w:pPr>
        <w:pStyle w:val="SingleTxtG"/>
        <w:spacing w:line="276" w:lineRule="auto"/>
        <w:ind w:left="0"/>
        <w:rPr>
          <w:bCs/>
          <w:sz w:val="22"/>
          <w:szCs w:val="22"/>
          <w:lang w:val="en-AU"/>
        </w:rPr>
      </w:pPr>
      <w:r w:rsidRPr="00720FCA">
        <w:rPr>
          <w:bCs/>
          <w:sz w:val="22"/>
          <w:szCs w:val="22"/>
          <w:lang w:val="en-AU"/>
        </w:rPr>
        <w:t xml:space="preserve"> </w:t>
      </w:r>
      <w:r w:rsidR="00720FCA" w:rsidRPr="00720FCA">
        <w:rPr>
          <w:bCs/>
          <w:sz w:val="22"/>
          <w:szCs w:val="22"/>
          <w:lang w:val="en-AU"/>
        </w:rPr>
        <w:t>It is recommended that the New Zealand Government</w:t>
      </w:r>
      <w:r w:rsidR="003B37F6">
        <w:rPr>
          <w:bCs/>
          <w:sz w:val="22"/>
          <w:szCs w:val="22"/>
          <w:lang w:val="en-AU"/>
        </w:rPr>
        <w:t>:</w:t>
      </w:r>
    </w:p>
    <w:p w14:paraId="00F1936B" w14:textId="1AF2E62D" w:rsidR="00F517B2" w:rsidRPr="008528B9" w:rsidRDefault="00F517B2" w:rsidP="00F43A4D">
      <w:pPr>
        <w:pStyle w:val="SingleTxtG"/>
        <w:numPr>
          <w:ilvl w:val="0"/>
          <w:numId w:val="14"/>
        </w:numPr>
        <w:spacing w:line="276" w:lineRule="auto"/>
        <w:ind w:right="95"/>
        <w:rPr>
          <w:rFonts w:ascii="Calibri" w:eastAsia="Calibri" w:hAnsi="Calibri" w:cs="Arial"/>
          <w:sz w:val="22"/>
          <w:szCs w:val="22"/>
          <w:lang w:val="en-NZ" w:eastAsia="en-US" w:bidi="he-IL"/>
        </w:rPr>
      </w:pPr>
      <w:r w:rsidRPr="008528B9">
        <w:rPr>
          <w:rFonts w:ascii="Calibri" w:eastAsia="Calibri" w:hAnsi="Calibri" w:cs="Arial"/>
          <w:sz w:val="22"/>
          <w:szCs w:val="22"/>
          <w:lang w:val="en-NZ" w:eastAsia="en-US" w:bidi="he-IL"/>
        </w:rPr>
        <w:t>A</w:t>
      </w:r>
      <w:r w:rsidR="009F49A3" w:rsidRPr="008528B9">
        <w:rPr>
          <w:rFonts w:ascii="Calibri" w:eastAsia="Calibri" w:hAnsi="Calibri" w:cs="Arial"/>
          <w:sz w:val="22"/>
          <w:szCs w:val="22"/>
          <w:lang w:val="en-NZ" w:eastAsia="en-US" w:bidi="he-IL"/>
        </w:rPr>
        <w:t>mend t</w:t>
      </w:r>
      <w:r w:rsidRPr="008528B9">
        <w:rPr>
          <w:rFonts w:ascii="Calibri" w:eastAsia="Calibri" w:hAnsi="Calibri" w:cs="Arial"/>
          <w:sz w:val="22"/>
          <w:szCs w:val="22"/>
          <w:lang w:val="en-NZ" w:eastAsia="en-US" w:bidi="he-IL"/>
        </w:rPr>
        <w:t xml:space="preserve">he Human Rights Act 1993 to include an explicit recognition of the denial of reasonable accommodation as a form of discrimination and include a legislative definition of reasonable accommodation consistent with the meaning provided in Article 2 of the </w:t>
      </w:r>
      <w:r w:rsidR="00E76A19" w:rsidRPr="008528B9">
        <w:rPr>
          <w:rFonts w:ascii="Calibri" w:eastAsia="Calibri" w:hAnsi="Calibri" w:cs="Arial"/>
          <w:sz w:val="22"/>
          <w:szCs w:val="22"/>
          <w:lang w:val="en-NZ" w:eastAsia="en-US" w:bidi="he-IL"/>
        </w:rPr>
        <w:t>CRPD</w:t>
      </w:r>
      <w:r w:rsidR="003B37F6">
        <w:rPr>
          <w:rStyle w:val="EndnoteReference"/>
          <w:rFonts w:ascii="Calibri" w:eastAsia="Calibri" w:hAnsi="Calibri" w:cs="Arial"/>
          <w:sz w:val="22"/>
          <w:szCs w:val="22"/>
          <w:lang w:val="en-NZ" w:eastAsia="en-US" w:bidi="he-IL"/>
        </w:rPr>
        <w:endnoteReference w:id="1"/>
      </w:r>
      <w:r w:rsidR="00E76A19" w:rsidRPr="008528B9">
        <w:rPr>
          <w:rFonts w:ascii="Calibri" w:eastAsia="Calibri" w:hAnsi="Calibri" w:cs="Arial"/>
          <w:sz w:val="22"/>
          <w:szCs w:val="22"/>
          <w:lang w:val="en-NZ" w:eastAsia="en-US" w:bidi="he-IL"/>
        </w:rPr>
        <w:t>.</w:t>
      </w:r>
    </w:p>
    <w:p w14:paraId="5171CC0D" w14:textId="4EBA7682" w:rsidR="00F517B2" w:rsidRPr="008528B9" w:rsidRDefault="009F49A3" w:rsidP="00F43A4D">
      <w:pPr>
        <w:pStyle w:val="ListParagraph"/>
        <w:numPr>
          <w:ilvl w:val="0"/>
          <w:numId w:val="14"/>
        </w:numPr>
        <w:ind w:right="95"/>
        <w:jc w:val="both"/>
      </w:pPr>
      <w:r w:rsidRPr="008528B9">
        <w:t>A</w:t>
      </w:r>
      <w:r w:rsidR="00F517B2" w:rsidRPr="008528B9">
        <w:t>mend the Education and Training Act 2020 to include an enforceable right to inclusive education and reasonable accommodation</w:t>
      </w:r>
      <w:r w:rsidR="008460E0">
        <w:rPr>
          <w:rStyle w:val="EndnoteReference"/>
        </w:rPr>
        <w:endnoteReference w:id="2"/>
      </w:r>
      <w:r w:rsidR="00F43A4D">
        <w:t>,</w:t>
      </w:r>
    </w:p>
    <w:p w14:paraId="4CFEF99A" w14:textId="425C7533" w:rsidR="00356C2D" w:rsidRPr="00356C2D" w:rsidRDefault="009F49A3" w:rsidP="00356C2D">
      <w:pPr>
        <w:pStyle w:val="NormalWeb"/>
        <w:numPr>
          <w:ilvl w:val="0"/>
          <w:numId w:val="14"/>
        </w:numPr>
        <w:spacing w:line="276" w:lineRule="auto"/>
        <w:jc w:val="both"/>
        <w:rPr>
          <w:rFonts w:eastAsia="Calibri" w:cs="Arial"/>
          <w:lang w:eastAsia="en-US" w:bidi="he-IL"/>
        </w:rPr>
      </w:pPr>
      <w:r w:rsidRPr="008528B9">
        <w:rPr>
          <w:rFonts w:eastAsia="Calibri" w:cs="Arial"/>
          <w:lang w:eastAsia="en-US" w:bidi="he-IL"/>
        </w:rPr>
        <w:t>Develop a comprehensive deinstitutionalisation strategy, with specific timeframes and adequate budgets, to close all residential institutions, including group homes and residential specialist schools to provide community supports for persons with disabilities to live independently in the community</w:t>
      </w:r>
      <w:r w:rsidR="008460E0">
        <w:rPr>
          <w:rStyle w:val="EndnoteReference"/>
          <w:rFonts w:eastAsia="Calibri" w:cs="Arial"/>
          <w:lang w:eastAsia="en-US" w:bidi="he-IL"/>
        </w:rPr>
        <w:endnoteReference w:id="3"/>
      </w:r>
      <w:r w:rsidR="00356C2D">
        <w:rPr>
          <w:rFonts w:eastAsia="Calibri" w:cs="Arial"/>
          <w:lang w:eastAsia="en-US" w:bidi="he-IL"/>
        </w:rPr>
        <w:t>.</w:t>
      </w:r>
    </w:p>
    <w:p w14:paraId="40B8AA25" w14:textId="3987A4AD" w:rsidR="00F43A4D" w:rsidRDefault="009F49A3" w:rsidP="00F43A4D">
      <w:pPr>
        <w:pStyle w:val="SingleTxtG"/>
        <w:numPr>
          <w:ilvl w:val="0"/>
          <w:numId w:val="14"/>
        </w:numPr>
        <w:spacing w:line="276" w:lineRule="auto"/>
        <w:ind w:right="-46"/>
        <w:rPr>
          <w:rFonts w:ascii="Calibri" w:eastAsia="Calibri" w:hAnsi="Calibri" w:cs="Arial"/>
          <w:sz w:val="22"/>
          <w:szCs w:val="22"/>
          <w:lang w:val="en-NZ" w:eastAsia="en-US" w:bidi="he-IL"/>
        </w:rPr>
      </w:pPr>
      <w:r w:rsidRPr="008528B9">
        <w:rPr>
          <w:rFonts w:ascii="Calibri" w:eastAsia="Calibri" w:hAnsi="Calibri" w:cs="Arial"/>
          <w:sz w:val="22"/>
          <w:szCs w:val="22"/>
          <w:lang w:val="en-NZ" w:eastAsia="en-US" w:bidi="he-IL"/>
        </w:rPr>
        <w:t>Take measures to cease investment in residential specialist schools for children with disabilities and establish a deinstitutionalization process that ensures adequate support is provided for children with disabilities to return to their families and exercise their right to an inclusive education</w:t>
      </w:r>
      <w:r w:rsidR="008460E0">
        <w:rPr>
          <w:rStyle w:val="EndnoteReference"/>
          <w:rFonts w:ascii="Calibri" w:eastAsia="Calibri" w:hAnsi="Calibri" w:cs="Arial"/>
          <w:sz w:val="22"/>
          <w:szCs w:val="22"/>
          <w:lang w:val="en-NZ" w:eastAsia="en-US" w:bidi="he-IL"/>
        </w:rPr>
        <w:endnoteReference w:id="4"/>
      </w:r>
      <w:r w:rsidR="00F43A4D">
        <w:rPr>
          <w:rFonts w:ascii="Calibri" w:eastAsia="Calibri" w:hAnsi="Calibri" w:cs="Arial"/>
          <w:sz w:val="22"/>
          <w:szCs w:val="22"/>
          <w:lang w:val="en-NZ" w:eastAsia="en-US" w:bidi="he-IL"/>
        </w:rPr>
        <w:t>,</w:t>
      </w:r>
    </w:p>
    <w:p w14:paraId="76E61CC6" w14:textId="399D9955" w:rsidR="00356C2D" w:rsidRPr="00356C2D" w:rsidRDefault="009F49A3" w:rsidP="00F43A4D">
      <w:pPr>
        <w:pStyle w:val="SingleTxtG"/>
        <w:numPr>
          <w:ilvl w:val="0"/>
          <w:numId w:val="14"/>
        </w:numPr>
        <w:spacing w:line="276" w:lineRule="auto"/>
        <w:ind w:right="-46"/>
        <w:rPr>
          <w:rFonts w:ascii="Calibri" w:eastAsia="Calibri" w:hAnsi="Calibri" w:cs="Arial"/>
          <w:sz w:val="22"/>
          <w:szCs w:val="22"/>
          <w:lang w:val="en-NZ" w:eastAsia="en-US" w:bidi="he-IL"/>
        </w:rPr>
      </w:pPr>
      <w:r w:rsidRPr="00356C2D">
        <w:rPr>
          <w:rFonts w:ascii="Calibri" w:eastAsia="Calibri" w:hAnsi="Calibri" w:cs="Arial"/>
          <w:sz w:val="22"/>
          <w:szCs w:val="22"/>
          <w:lang w:val="en-NZ" w:eastAsia="en-US" w:bidi="he-IL"/>
        </w:rPr>
        <w:t>Develop an inclusive education strategy that includes measures for the devolution of segregated education settings into a mainstream inclusive education system, to transition funding and resources from specialist education to inclusive education, to prioritise inclusive education in teacher training, to establish uniform inclusive education policies and guidelines, to develop an inclusive education curriculum, and to promote and raise community awareness</w:t>
      </w:r>
      <w:r w:rsidR="008460E0">
        <w:rPr>
          <w:rStyle w:val="EndnoteReference"/>
          <w:rFonts w:ascii="Calibri" w:eastAsia="Calibri" w:hAnsi="Calibri" w:cs="Arial"/>
          <w:sz w:val="22"/>
          <w:szCs w:val="22"/>
          <w:lang w:val="en-NZ" w:eastAsia="en-US" w:bidi="he-IL"/>
        </w:rPr>
        <w:endnoteReference w:id="5"/>
      </w:r>
      <w:r w:rsidR="00F43A4D" w:rsidRPr="00356C2D">
        <w:rPr>
          <w:rFonts w:ascii="Calibri" w:eastAsia="Calibri" w:hAnsi="Calibri" w:cs="Arial"/>
          <w:sz w:val="22"/>
          <w:szCs w:val="22"/>
          <w:lang w:val="en-NZ" w:eastAsia="en-US" w:bidi="he-IL"/>
        </w:rPr>
        <w:t>,</w:t>
      </w:r>
    </w:p>
    <w:p w14:paraId="64F2EDF6" w14:textId="13C942D8" w:rsidR="00F43A4D" w:rsidRPr="00356C2D" w:rsidRDefault="009F49A3" w:rsidP="00F43A4D">
      <w:pPr>
        <w:pStyle w:val="SingleTxtG"/>
        <w:numPr>
          <w:ilvl w:val="0"/>
          <w:numId w:val="14"/>
        </w:numPr>
        <w:spacing w:line="276" w:lineRule="auto"/>
        <w:ind w:right="-46"/>
        <w:rPr>
          <w:rFonts w:ascii="Calibri" w:eastAsia="Calibri" w:hAnsi="Calibri" w:cs="Arial"/>
          <w:sz w:val="22"/>
          <w:szCs w:val="22"/>
          <w:lang w:val="en-NZ" w:eastAsia="en-US" w:bidi="he-IL"/>
        </w:rPr>
      </w:pPr>
      <w:r w:rsidRPr="00356C2D">
        <w:rPr>
          <w:rFonts w:ascii="Calibri" w:eastAsia="Calibri" w:hAnsi="Calibri" w:cs="Arial"/>
          <w:sz w:val="22"/>
          <w:szCs w:val="22"/>
          <w:lang w:val="en-NZ" w:eastAsia="en-US" w:bidi="he-IL"/>
        </w:rPr>
        <w:t>Withdraw the proposal to change entry requirements for enrolment in residential specialist schools and redirect funding and resources into an inclusive education system</w:t>
      </w:r>
      <w:r w:rsidR="008460E0">
        <w:rPr>
          <w:rStyle w:val="EndnoteReference"/>
          <w:rFonts w:ascii="Calibri" w:eastAsia="Calibri" w:hAnsi="Calibri" w:cs="Arial"/>
          <w:sz w:val="22"/>
          <w:szCs w:val="22"/>
          <w:lang w:val="en-NZ" w:eastAsia="en-US" w:bidi="he-IL"/>
        </w:rPr>
        <w:endnoteReference w:id="6"/>
      </w:r>
      <w:r w:rsidRPr="00356C2D">
        <w:rPr>
          <w:rFonts w:ascii="Calibri" w:eastAsia="Calibri" w:hAnsi="Calibri" w:cs="Arial"/>
          <w:sz w:val="22"/>
          <w:szCs w:val="22"/>
          <w:lang w:val="en-NZ" w:eastAsia="en-US" w:bidi="he-IL"/>
        </w:rPr>
        <w:t>; an</w:t>
      </w:r>
      <w:r w:rsidR="00F43A4D" w:rsidRPr="00356C2D">
        <w:rPr>
          <w:rFonts w:ascii="Calibri" w:eastAsia="Calibri" w:hAnsi="Calibri" w:cs="Arial"/>
          <w:sz w:val="22"/>
          <w:szCs w:val="22"/>
          <w:lang w:val="en-NZ" w:eastAsia="en-US" w:bidi="he-IL"/>
        </w:rPr>
        <w:t>d</w:t>
      </w:r>
    </w:p>
    <w:p w14:paraId="0A11E6B6" w14:textId="672E4419" w:rsidR="00741489" w:rsidRPr="00350463" w:rsidRDefault="009F49A3" w:rsidP="00F43A4D">
      <w:pPr>
        <w:pStyle w:val="NormalWeb"/>
        <w:numPr>
          <w:ilvl w:val="0"/>
          <w:numId w:val="14"/>
        </w:numPr>
        <w:spacing w:line="276" w:lineRule="auto"/>
        <w:jc w:val="both"/>
        <w:rPr>
          <w:rFonts w:eastAsia="Calibri" w:cs="Arial"/>
          <w:lang w:eastAsia="en-US" w:bidi="he-IL"/>
        </w:rPr>
      </w:pPr>
      <w:r w:rsidRPr="008528B9">
        <w:rPr>
          <w:rFonts w:eastAsia="Calibri" w:cs="Arial"/>
          <w:lang w:eastAsia="en-US" w:bidi="he-IL"/>
        </w:rPr>
        <w:t>Develop specific culturally appropriate strategies to address the high proportion of Māori children with disabilities in residential specialist schools, including the provision of supports to remain with whanāu (extended family networks) in their local communities</w:t>
      </w:r>
      <w:r w:rsidR="008460E0">
        <w:rPr>
          <w:rStyle w:val="EndnoteReference"/>
          <w:rFonts w:eastAsia="Calibri" w:cs="Arial"/>
          <w:lang w:eastAsia="en-US" w:bidi="he-IL"/>
        </w:rPr>
        <w:endnoteReference w:id="7"/>
      </w:r>
      <w:r w:rsidRPr="008528B9">
        <w:rPr>
          <w:rFonts w:eastAsia="Calibri" w:cs="Arial"/>
          <w:lang w:eastAsia="en-US" w:bidi="he-IL"/>
        </w:rPr>
        <w:t>.</w:t>
      </w:r>
    </w:p>
    <w:p w14:paraId="7F85CB34" w14:textId="7991CD57" w:rsidR="002A40B2" w:rsidRDefault="00DB1E46" w:rsidP="00F43A4D">
      <w:pPr>
        <w:spacing w:after="0"/>
        <w:jc w:val="both"/>
        <w:rPr>
          <w:bCs/>
          <w:lang w:val="en-AU"/>
        </w:rPr>
      </w:pPr>
      <w:r w:rsidRPr="008528B9">
        <w:rPr>
          <w:rFonts w:asciiTheme="minorHAnsi" w:eastAsia="Times New Roman" w:hAnsiTheme="minorHAnsi" w:cstheme="minorHAnsi"/>
          <w:b/>
          <w:i/>
          <w:iCs/>
          <w:color w:val="4F81BD" w:themeColor="accent1"/>
          <w:lang w:eastAsia="en-NZ" w:bidi="ar-SA"/>
        </w:rPr>
        <w:t>Implementation</w:t>
      </w:r>
      <w:r w:rsidR="008A6EF7" w:rsidRPr="008528B9">
        <w:rPr>
          <w:rFonts w:asciiTheme="minorHAnsi" w:eastAsia="Times New Roman" w:hAnsiTheme="minorHAnsi" w:cstheme="minorHAnsi"/>
          <w:b/>
          <w:i/>
          <w:iCs/>
          <w:color w:val="4F81BD" w:themeColor="accent1"/>
          <w:lang w:eastAsia="en-NZ" w:bidi="ar-SA"/>
        </w:rPr>
        <w:t xml:space="preserve"> </w:t>
      </w:r>
      <w:r w:rsidR="00E03922" w:rsidRPr="008528B9">
        <w:rPr>
          <w:rFonts w:asciiTheme="minorHAnsi" w:eastAsia="Times New Roman" w:hAnsiTheme="minorHAnsi" w:cstheme="minorHAnsi"/>
          <w:b/>
          <w:i/>
          <w:iCs/>
          <w:color w:val="4F81BD" w:themeColor="accent1"/>
          <w:lang w:eastAsia="en-NZ" w:bidi="ar-SA"/>
        </w:rPr>
        <w:t>of recommendations</w:t>
      </w:r>
      <w:r w:rsidRPr="008528B9">
        <w:rPr>
          <w:rFonts w:asciiTheme="minorHAnsi" w:eastAsia="Times New Roman" w:hAnsiTheme="minorHAnsi" w:cstheme="minorHAnsi"/>
          <w:b/>
          <w:i/>
          <w:iCs/>
          <w:color w:val="4F81BD" w:themeColor="accent1"/>
          <w:lang w:eastAsia="en-NZ" w:bidi="ar-SA"/>
        </w:rPr>
        <w:t xml:space="preserve"> </w:t>
      </w:r>
      <w:r w:rsidR="00823F73" w:rsidRPr="008528B9">
        <w:rPr>
          <w:rFonts w:asciiTheme="minorHAnsi" w:eastAsia="Times New Roman" w:hAnsiTheme="minorHAnsi" w:cstheme="minorHAnsi"/>
          <w:b/>
          <w:i/>
          <w:iCs/>
          <w:color w:val="4F81BD" w:themeColor="accent1"/>
          <w:lang w:eastAsia="en-NZ" w:bidi="ar-SA"/>
        </w:rPr>
        <w:t xml:space="preserve">from 3rd UPR </w:t>
      </w:r>
    </w:p>
    <w:p w14:paraId="59E166EE" w14:textId="77777777" w:rsidR="008528B9" w:rsidRPr="008528B9" w:rsidRDefault="008528B9" w:rsidP="00F43A4D">
      <w:pPr>
        <w:spacing w:after="0"/>
        <w:jc w:val="both"/>
        <w:rPr>
          <w:bCs/>
          <w:lang w:val="en-AU"/>
        </w:rPr>
      </w:pPr>
    </w:p>
    <w:p w14:paraId="73BDCC50" w14:textId="34B075B8" w:rsidR="001B002F" w:rsidRPr="00DA78AD" w:rsidRDefault="00923536" w:rsidP="00F43A4D">
      <w:pPr>
        <w:pStyle w:val="ListParagraph"/>
        <w:numPr>
          <w:ilvl w:val="0"/>
          <w:numId w:val="4"/>
        </w:numPr>
        <w:jc w:val="both"/>
        <w:rPr>
          <w:rStyle w:val="normaltextrun"/>
        </w:rPr>
      </w:pPr>
      <w:r w:rsidRPr="008528B9">
        <w:rPr>
          <w:rStyle w:val="normaltextrun"/>
          <w:b/>
          <w:bCs/>
          <w:color w:val="000000"/>
          <w:shd w:val="clear" w:color="auto" w:fill="FFFFFF"/>
        </w:rPr>
        <w:t>The Government has not implemented recommendations on the right to inclusive education for all children</w:t>
      </w:r>
      <w:r w:rsidR="009B213E" w:rsidRPr="008528B9">
        <w:rPr>
          <w:rStyle w:val="normaltextrun"/>
          <w:b/>
          <w:bCs/>
          <w:color w:val="000000"/>
          <w:shd w:val="clear" w:color="auto" w:fill="FFFFFF"/>
        </w:rPr>
        <w:t>.</w:t>
      </w:r>
      <w:r w:rsidRPr="008528B9">
        <w:rPr>
          <w:rStyle w:val="normaltextrun"/>
          <w:b/>
          <w:bCs/>
          <w:color w:val="000000"/>
          <w:shd w:val="clear" w:color="auto" w:fill="FFFFFF"/>
        </w:rPr>
        <w:t xml:space="preserve"> </w:t>
      </w:r>
      <w:r w:rsidR="0009058F" w:rsidRPr="008528B9">
        <w:rPr>
          <w:rStyle w:val="normaltextrun"/>
          <w:color w:val="000000"/>
          <w:shd w:val="clear" w:color="auto" w:fill="FFFFFF"/>
        </w:rPr>
        <w:t xml:space="preserve">IEAG is </w:t>
      </w:r>
      <w:r w:rsidR="00475701" w:rsidRPr="008528B9">
        <w:rPr>
          <w:rStyle w:val="normaltextrun"/>
          <w:color w:val="000000"/>
          <w:shd w:val="clear" w:color="auto" w:fill="FFFFFF"/>
        </w:rPr>
        <w:t xml:space="preserve">concerned </w:t>
      </w:r>
      <w:r w:rsidRPr="008528B9">
        <w:rPr>
          <w:rStyle w:val="normaltextrun"/>
          <w:color w:val="000000"/>
          <w:shd w:val="clear" w:color="auto" w:fill="FFFFFF"/>
        </w:rPr>
        <w:t xml:space="preserve">about the investment </w:t>
      </w:r>
      <w:r w:rsidR="00741489" w:rsidRPr="008528B9">
        <w:rPr>
          <w:rStyle w:val="normaltextrun"/>
          <w:color w:val="000000"/>
          <w:shd w:val="clear" w:color="auto" w:fill="FFFFFF"/>
        </w:rPr>
        <w:t xml:space="preserve">of public funds </w:t>
      </w:r>
      <w:r w:rsidRPr="008528B9">
        <w:rPr>
          <w:rStyle w:val="normaltextrun"/>
          <w:color w:val="000000"/>
          <w:shd w:val="clear" w:color="auto" w:fill="FFFFFF"/>
        </w:rPr>
        <w:t xml:space="preserve">in </w:t>
      </w:r>
      <w:r w:rsidR="009B213E" w:rsidRPr="008528B9">
        <w:rPr>
          <w:rStyle w:val="normaltextrun"/>
          <w:color w:val="000000"/>
          <w:shd w:val="clear" w:color="auto" w:fill="FFFFFF"/>
        </w:rPr>
        <w:t xml:space="preserve">sustaining a </w:t>
      </w:r>
      <w:r w:rsidRPr="008528B9">
        <w:rPr>
          <w:rStyle w:val="normaltextrun"/>
          <w:color w:val="000000"/>
          <w:shd w:val="clear" w:color="auto" w:fill="FFFFFF"/>
        </w:rPr>
        <w:t>dual education system of segregated and mainstream settings</w:t>
      </w:r>
      <w:r w:rsidR="009B213E" w:rsidRPr="008528B9">
        <w:rPr>
          <w:rStyle w:val="normaltextrun"/>
          <w:color w:val="000000"/>
          <w:shd w:val="clear" w:color="auto" w:fill="FFFFFF"/>
        </w:rPr>
        <w:t>. Of</w:t>
      </w:r>
      <w:r w:rsidR="008528B9" w:rsidRPr="008528B9">
        <w:rPr>
          <w:rStyle w:val="normaltextrun"/>
          <w:color w:val="000000"/>
          <w:shd w:val="clear" w:color="auto" w:fill="FFFFFF"/>
        </w:rPr>
        <w:t xml:space="preserve"> </w:t>
      </w:r>
      <w:r w:rsidR="009B213E" w:rsidRPr="008528B9">
        <w:rPr>
          <w:rStyle w:val="normaltextrun"/>
          <w:color w:val="000000"/>
          <w:shd w:val="clear" w:color="auto" w:fill="FFFFFF"/>
        </w:rPr>
        <w:t xml:space="preserve">concern is </w:t>
      </w:r>
      <w:r w:rsidR="00475701" w:rsidRPr="008528B9">
        <w:rPr>
          <w:rStyle w:val="normaltextrun"/>
          <w:color w:val="000000"/>
          <w:shd w:val="clear" w:color="auto" w:fill="FFFFFF"/>
        </w:rPr>
        <w:t>increasing rolls a</w:t>
      </w:r>
      <w:r w:rsidR="00FB06B2">
        <w:rPr>
          <w:rStyle w:val="normaltextrun"/>
          <w:color w:val="000000"/>
          <w:shd w:val="clear" w:color="auto" w:fill="FFFFFF"/>
        </w:rPr>
        <w:t>nd</w:t>
      </w:r>
      <w:r w:rsidR="00475701" w:rsidRPr="008528B9">
        <w:rPr>
          <w:rStyle w:val="normaltextrun"/>
          <w:color w:val="000000"/>
          <w:shd w:val="clear" w:color="auto" w:fill="FFFFFF"/>
        </w:rPr>
        <w:t xml:space="preserve"> levels of physical restraint in</w:t>
      </w:r>
      <w:r w:rsidR="009B213E" w:rsidRPr="008528B9">
        <w:rPr>
          <w:rStyle w:val="normaltextrun"/>
          <w:color w:val="000000"/>
          <w:shd w:val="clear" w:color="auto" w:fill="FFFFFF"/>
        </w:rPr>
        <w:t xml:space="preserve"> </w:t>
      </w:r>
      <w:r w:rsidR="005A1063" w:rsidRPr="008528B9">
        <w:rPr>
          <w:rStyle w:val="normaltextrun"/>
          <w:color w:val="000000"/>
          <w:shd w:val="clear" w:color="auto" w:fill="FFFFFF"/>
        </w:rPr>
        <w:t>residential specialist schools</w:t>
      </w:r>
      <w:r w:rsidR="009B213E" w:rsidRPr="008528B9">
        <w:rPr>
          <w:rStyle w:val="normaltextrun"/>
          <w:color w:val="000000"/>
          <w:shd w:val="clear" w:color="auto" w:fill="FFFFFF"/>
        </w:rPr>
        <w:t xml:space="preserve">. </w:t>
      </w:r>
      <w:r w:rsidR="00F74DE7" w:rsidRPr="008528B9">
        <w:rPr>
          <w:rStyle w:val="normaltextrun"/>
          <w:color w:val="000000"/>
          <w:shd w:val="clear" w:color="auto" w:fill="FFFFFF"/>
        </w:rPr>
        <w:t xml:space="preserve">Enrolment in these residential institutions had declined over the past decade, from </w:t>
      </w:r>
      <w:r w:rsidR="00517482" w:rsidRPr="008528B9">
        <w:rPr>
          <w:rStyle w:val="normaltextrun"/>
          <w:color w:val="000000"/>
          <w:shd w:val="clear" w:color="auto" w:fill="FFFFFF"/>
        </w:rPr>
        <w:t>182 in 2010 to 17 in 2021</w:t>
      </w:r>
      <w:r w:rsidR="00975B60" w:rsidRPr="008528B9">
        <w:rPr>
          <w:rStyle w:val="normaltextrun"/>
          <w:color w:val="000000"/>
          <w:shd w:val="clear" w:color="auto" w:fill="FFFFFF"/>
        </w:rPr>
        <w:t>.</w:t>
      </w:r>
      <w:r w:rsidR="00517482" w:rsidRPr="008528B9">
        <w:rPr>
          <w:rStyle w:val="normaltextrun"/>
          <w:color w:val="000000"/>
          <w:shd w:val="clear" w:color="auto" w:fill="FFFFFF"/>
        </w:rPr>
        <w:t xml:space="preserve"> H</w:t>
      </w:r>
      <w:r w:rsidR="00F74DE7" w:rsidRPr="008528B9">
        <w:rPr>
          <w:rStyle w:val="normaltextrun"/>
          <w:color w:val="000000"/>
          <w:shd w:val="clear" w:color="auto" w:fill="FFFFFF"/>
        </w:rPr>
        <w:t>owever</w:t>
      </w:r>
      <w:r w:rsidR="009F49A3" w:rsidRPr="008528B9">
        <w:rPr>
          <w:rStyle w:val="normaltextrun"/>
          <w:color w:val="000000"/>
          <w:shd w:val="clear" w:color="auto" w:fill="FFFFFF"/>
        </w:rPr>
        <w:t>,</w:t>
      </w:r>
      <w:r w:rsidR="00F74DE7" w:rsidRPr="008528B9">
        <w:rPr>
          <w:rStyle w:val="normaltextrun"/>
          <w:color w:val="000000"/>
          <w:shd w:val="clear" w:color="auto" w:fill="FFFFFF"/>
        </w:rPr>
        <w:t xml:space="preserve"> changes to enrolment criteria has </w:t>
      </w:r>
      <w:r w:rsidR="007954EC" w:rsidRPr="008528B9">
        <w:rPr>
          <w:rStyle w:val="normaltextrun"/>
          <w:color w:val="000000"/>
          <w:shd w:val="clear" w:color="auto" w:fill="FFFFFF"/>
        </w:rPr>
        <w:t>l</w:t>
      </w:r>
      <w:r w:rsidR="00F74DE7" w:rsidRPr="008528B9">
        <w:rPr>
          <w:rStyle w:val="normaltextrun"/>
          <w:color w:val="000000"/>
          <w:shd w:val="clear" w:color="auto" w:fill="FFFFFF"/>
        </w:rPr>
        <w:t xml:space="preserve">ed to an increase </w:t>
      </w:r>
      <w:r w:rsidR="00517482" w:rsidRPr="008528B9">
        <w:rPr>
          <w:rStyle w:val="normaltextrun"/>
          <w:color w:val="000000"/>
          <w:shd w:val="clear" w:color="auto" w:fill="FFFFFF"/>
        </w:rPr>
        <w:t>in enrolments</w:t>
      </w:r>
      <w:r w:rsidR="007954EC" w:rsidRPr="008528B9">
        <w:rPr>
          <w:rStyle w:val="normaltextrun"/>
          <w:color w:val="000000"/>
          <w:shd w:val="clear" w:color="auto" w:fill="FFFFFF"/>
        </w:rPr>
        <w:t>, with over twice as many students being enrolled</w:t>
      </w:r>
      <w:r w:rsidR="00517482" w:rsidRPr="008528B9">
        <w:rPr>
          <w:rStyle w:val="normaltextrun"/>
          <w:color w:val="000000"/>
          <w:shd w:val="clear" w:color="auto" w:fill="FFFFFF"/>
        </w:rPr>
        <w:t xml:space="preserve"> in 2023</w:t>
      </w:r>
      <w:r w:rsidR="00F43A4D">
        <w:rPr>
          <w:rStyle w:val="EndnoteReference"/>
          <w:color w:val="000000"/>
          <w:shd w:val="clear" w:color="auto" w:fill="FFFFFF"/>
        </w:rPr>
        <w:endnoteReference w:id="8"/>
      </w:r>
      <w:r w:rsidR="008C5554" w:rsidRPr="008528B9">
        <w:rPr>
          <w:rStyle w:val="normaltextrun"/>
          <w:color w:val="000000"/>
          <w:shd w:val="clear" w:color="auto" w:fill="FFFFFF"/>
        </w:rPr>
        <w:t xml:space="preserve"> as in 20</w:t>
      </w:r>
      <w:r w:rsidR="008528B9" w:rsidRPr="008528B9">
        <w:rPr>
          <w:rStyle w:val="normaltextrun"/>
          <w:color w:val="000000"/>
          <w:shd w:val="clear" w:color="auto" w:fill="FFFFFF"/>
        </w:rPr>
        <w:t>21</w:t>
      </w:r>
      <w:r w:rsidR="001B002F" w:rsidRPr="008528B9">
        <w:rPr>
          <w:rStyle w:val="normaltextrun"/>
          <w:color w:val="000000"/>
          <w:shd w:val="clear" w:color="auto" w:fill="FFFFFF"/>
        </w:rPr>
        <w:t xml:space="preserve">.  </w:t>
      </w:r>
    </w:p>
    <w:p w14:paraId="4CA12DBD" w14:textId="77777777" w:rsidR="00DA78AD" w:rsidRPr="008528B9" w:rsidRDefault="00DA78AD" w:rsidP="00F43A4D">
      <w:pPr>
        <w:pStyle w:val="ListParagraph"/>
        <w:ind w:left="360"/>
        <w:jc w:val="both"/>
      </w:pPr>
    </w:p>
    <w:p w14:paraId="112DBB51" w14:textId="0A2FF516" w:rsidR="00C8250C" w:rsidRPr="008528B9" w:rsidRDefault="001B002F" w:rsidP="00F43A4D">
      <w:pPr>
        <w:pStyle w:val="ListParagraph"/>
        <w:numPr>
          <w:ilvl w:val="0"/>
          <w:numId w:val="4"/>
        </w:numPr>
        <w:spacing w:after="0"/>
        <w:jc w:val="both"/>
        <w:rPr>
          <w:rStyle w:val="normaltextrun"/>
          <w:color w:val="000000"/>
          <w:shd w:val="clear" w:color="auto" w:fill="FFFFFF"/>
        </w:rPr>
      </w:pPr>
      <w:r w:rsidRPr="008528B9">
        <w:rPr>
          <w:rStyle w:val="normaltextrun"/>
          <w:b/>
          <w:bCs/>
          <w:color w:val="000000"/>
          <w:shd w:val="clear" w:color="auto" w:fill="FFFFFF"/>
        </w:rPr>
        <w:lastRenderedPageBreak/>
        <w:t xml:space="preserve">The Government has not </w:t>
      </w:r>
      <w:r w:rsidR="00ED2668" w:rsidRPr="008528B9">
        <w:rPr>
          <w:rStyle w:val="normaltextrun"/>
          <w:b/>
          <w:bCs/>
          <w:color w:val="000000"/>
          <w:shd w:val="clear" w:color="auto" w:fill="FFFFFF"/>
        </w:rPr>
        <w:t>harmonis</w:t>
      </w:r>
      <w:r w:rsidRPr="008528B9">
        <w:rPr>
          <w:rStyle w:val="normaltextrun"/>
          <w:b/>
          <w:bCs/>
          <w:color w:val="000000"/>
          <w:shd w:val="clear" w:color="auto" w:fill="FFFFFF"/>
        </w:rPr>
        <w:t>e</w:t>
      </w:r>
      <w:r w:rsidR="0057592C" w:rsidRPr="008528B9">
        <w:rPr>
          <w:rStyle w:val="normaltextrun"/>
          <w:b/>
          <w:bCs/>
          <w:color w:val="000000"/>
          <w:shd w:val="clear" w:color="auto" w:fill="FFFFFF"/>
        </w:rPr>
        <w:t>d</w:t>
      </w:r>
      <w:r w:rsidR="0009058F" w:rsidRPr="008528B9">
        <w:rPr>
          <w:rStyle w:val="normaltextrun"/>
          <w:b/>
          <w:bCs/>
          <w:color w:val="000000"/>
          <w:shd w:val="clear" w:color="auto" w:fill="FFFFFF"/>
        </w:rPr>
        <w:t xml:space="preserve"> </w:t>
      </w:r>
      <w:r w:rsidR="00034005" w:rsidRPr="008528B9">
        <w:rPr>
          <w:rStyle w:val="normaltextrun"/>
          <w:b/>
          <w:bCs/>
          <w:color w:val="000000"/>
          <w:shd w:val="clear" w:color="auto" w:fill="FFFFFF"/>
        </w:rPr>
        <w:t xml:space="preserve">national </w:t>
      </w:r>
      <w:r w:rsidR="006800F2" w:rsidRPr="008528B9">
        <w:rPr>
          <w:rStyle w:val="normaltextrun"/>
          <w:b/>
          <w:bCs/>
          <w:color w:val="000000"/>
          <w:shd w:val="clear" w:color="auto" w:fill="FFFFFF"/>
        </w:rPr>
        <w:t xml:space="preserve">legislation </w:t>
      </w:r>
      <w:r w:rsidR="00AB05BE" w:rsidRPr="008528B9">
        <w:rPr>
          <w:rStyle w:val="normaltextrun"/>
          <w:b/>
          <w:bCs/>
          <w:color w:val="000000"/>
          <w:shd w:val="clear" w:color="auto" w:fill="FFFFFF"/>
        </w:rPr>
        <w:t xml:space="preserve">relating to </w:t>
      </w:r>
      <w:r w:rsidR="00ED2668" w:rsidRPr="008528B9">
        <w:rPr>
          <w:rStyle w:val="normaltextrun"/>
          <w:b/>
          <w:bCs/>
          <w:color w:val="000000"/>
          <w:shd w:val="clear" w:color="auto" w:fill="FFFFFF"/>
        </w:rPr>
        <w:t xml:space="preserve">disabled </w:t>
      </w:r>
      <w:r w:rsidR="00684D00" w:rsidRPr="008528B9">
        <w:rPr>
          <w:rStyle w:val="normaltextrun"/>
          <w:b/>
          <w:bCs/>
          <w:color w:val="000000"/>
          <w:shd w:val="clear" w:color="auto" w:fill="FFFFFF"/>
        </w:rPr>
        <w:t>students’</w:t>
      </w:r>
      <w:r w:rsidR="00ED2668" w:rsidRPr="008528B9">
        <w:rPr>
          <w:rStyle w:val="normaltextrun"/>
          <w:b/>
          <w:bCs/>
          <w:color w:val="000000"/>
          <w:shd w:val="clear" w:color="auto" w:fill="FFFFFF"/>
        </w:rPr>
        <w:t xml:space="preserve"> rights with international standards regarding reasonable accommodation </w:t>
      </w:r>
      <w:r w:rsidR="006E2909" w:rsidRPr="008528B9">
        <w:rPr>
          <w:rStyle w:val="normaltextrun"/>
          <w:b/>
          <w:bCs/>
          <w:color w:val="000000"/>
          <w:shd w:val="clear" w:color="auto" w:fill="FFFFFF"/>
        </w:rPr>
        <w:t>and inclusive</w:t>
      </w:r>
      <w:r w:rsidR="00ED2668" w:rsidRPr="008528B9">
        <w:rPr>
          <w:rStyle w:val="normaltextrun"/>
          <w:b/>
          <w:bCs/>
          <w:color w:val="000000"/>
          <w:shd w:val="clear" w:color="auto" w:fill="FFFFFF"/>
        </w:rPr>
        <w:t xml:space="preserve"> education</w:t>
      </w:r>
      <w:r w:rsidR="005A1063" w:rsidRPr="008528B9">
        <w:rPr>
          <w:rStyle w:val="normaltextrun"/>
          <w:b/>
          <w:bCs/>
          <w:color w:val="000000"/>
          <w:shd w:val="clear" w:color="auto" w:fill="FFFFFF"/>
        </w:rPr>
        <w:t xml:space="preserve">. </w:t>
      </w:r>
      <w:r w:rsidR="00ED2668" w:rsidRPr="008528B9">
        <w:rPr>
          <w:rStyle w:val="normaltextrun"/>
          <w:b/>
          <w:bCs/>
          <w:color w:val="000000"/>
          <w:shd w:val="clear" w:color="auto" w:fill="FFFFFF"/>
        </w:rPr>
        <w:t xml:space="preserve"> </w:t>
      </w:r>
      <w:r w:rsidR="00737F92" w:rsidRPr="008528B9">
        <w:rPr>
          <w:rStyle w:val="normaltextrun"/>
          <w:color w:val="000000"/>
          <w:shd w:val="clear" w:color="auto" w:fill="FFFFFF"/>
        </w:rPr>
        <w:t xml:space="preserve">Since the previous UPR cycle </w:t>
      </w:r>
      <w:r w:rsidR="003B16D8" w:rsidRPr="008528B9">
        <w:rPr>
          <w:rStyle w:val="normaltextrun"/>
          <w:color w:val="000000"/>
          <w:shd w:val="clear" w:color="auto" w:fill="FFFFFF"/>
        </w:rPr>
        <w:t>new education legislation has been enacted.</w:t>
      </w:r>
      <w:r w:rsidRPr="008528B9">
        <w:rPr>
          <w:rStyle w:val="normaltextrun"/>
          <w:color w:val="000000"/>
          <w:shd w:val="clear" w:color="auto" w:fill="FFFFFF"/>
        </w:rPr>
        <w:t xml:space="preserve"> </w:t>
      </w:r>
      <w:r w:rsidR="00C53AF1" w:rsidRPr="008528B9">
        <w:rPr>
          <w:rStyle w:val="normaltextrun"/>
          <w:shd w:val="clear" w:color="auto" w:fill="FFFFFF"/>
        </w:rPr>
        <w:t>Disappointedly,</w:t>
      </w:r>
      <w:r w:rsidR="004B7EEF" w:rsidRPr="008528B9">
        <w:rPr>
          <w:rStyle w:val="normaltextrun"/>
          <w:shd w:val="clear" w:color="auto" w:fill="FFFFFF"/>
        </w:rPr>
        <w:t xml:space="preserve"> th</w:t>
      </w:r>
      <w:r w:rsidR="00BD6AF7">
        <w:rPr>
          <w:rStyle w:val="normaltextrun"/>
          <w:shd w:val="clear" w:color="auto" w:fill="FFFFFF"/>
        </w:rPr>
        <w:t xml:space="preserve">e </w:t>
      </w:r>
      <w:r w:rsidR="004B7EEF" w:rsidRPr="008528B9">
        <w:rPr>
          <w:rStyle w:val="normaltextrun"/>
          <w:shd w:val="clear" w:color="auto" w:fill="FFFFFF"/>
        </w:rPr>
        <w:t>Education and Training Act 2020 remains silent on these important human ri</w:t>
      </w:r>
      <w:r w:rsidR="003B16D8" w:rsidRPr="008528B9">
        <w:rPr>
          <w:rStyle w:val="normaltextrun"/>
          <w:shd w:val="clear" w:color="auto" w:fill="FFFFFF"/>
        </w:rPr>
        <w:t xml:space="preserve">ghts principles. </w:t>
      </w:r>
      <w:r w:rsidR="00C53AF1" w:rsidRPr="008528B9">
        <w:rPr>
          <w:rStyle w:val="normaltextrun"/>
          <w:shd w:val="clear" w:color="auto" w:fill="FFFFFF"/>
        </w:rPr>
        <w:t xml:space="preserve">The CRPD </w:t>
      </w:r>
      <w:r w:rsidR="00557A5C" w:rsidRPr="008528B9">
        <w:rPr>
          <w:rStyle w:val="normaltextrun"/>
          <w:shd w:val="clear" w:color="auto" w:fill="FFFFFF"/>
        </w:rPr>
        <w:t>Committee’s</w:t>
      </w:r>
      <w:r w:rsidR="00C53AF1" w:rsidRPr="008528B9">
        <w:rPr>
          <w:rStyle w:val="normaltextrun"/>
          <w:shd w:val="clear" w:color="auto" w:fill="FFFFFF"/>
        </w:rPr>
        <w:t xml:space="preserve">’ 2014 </w:t>
      </w:r>
      <w:r w:rsidR="00C53AF1" w:rsidRPr="008528B9">
        <w:rPr>
          <w:rStyle w:val="normaltextrun"/>
          <w:color w:val="000000"/>
          <w:shd w:val="clear" w:color="auto" w:fill="FFFFFF"/>
        </w:rPr>
        <w:t>r</w:t>
      </w:r>
      <w:r w:rsidR="003B16D8" w:rsidRPr="008528B9">
        <w:rPr>
          <w:rStyle w:val="normaltextrun"/>
          <w:color w:val="000000"/>
          <w:shd w:val="clear" w:color="auto" w:fill="FFFFFF"/>
        </w:rPr>
        <w:t>ecommendations to amend t</w:t>
      </w:r>
      <w:r w:rsidR="00C8250C" w:rsidRPr="008528B9">
        <w:rPr>
          <w:rStyle w:val="normaltextrun"/>
          <w:color w:val="000000"/>
          <w:shd w:val="clear" w:color="auto" w:fill="FFFFFF"/>
        </w:rPr>
        <w:t xml:space="preserve">he Human Rights Act of 1993 </w:t>
      </w:r>
      <w:r w:rsidR="003B16D8" w:rsidRPr="008528B9">
        <w:rPr>
          <w:rStyle w:val="normaltextrun"/>
          <w:color w:val="000000"/>
          <w:shd w:val="clear" w:color="auto" w:fill="FFFFFF"/>
        </w:rPr>
        <w:t>to</w:t>
      </w:r>
      <w:r w:rsidR="006E2909" w:rsidRPr="008528B9">
        <w:rPr>
          <w:rStyle w:val="normaltextrun"/>
          <w:color w:val="000000"/>
          <w:shd w:val="clear" w:color="auto" w:fill="FFFFFF"/>
        </w:rPr>
        <w:t xml:space="preserve"> explicitly </w:t>
      </w:r>
      <w:r w:rsidR="00C8250C" w:rsidRPr="008528B9">
        <w:rPr>
          <w:rStyle w:val="normaltextrun"/>
          <w:color w:val="000000"/>
          <w:shd w:val="clear" w:color="auto" w:fill="FFFFFF"/>
        </w:rPr>
        <w:t xml:space="preserve">recognize the denial of reasonable accommodation as a form of </w:t>
      </w:r>
      <w:r w:rsidR="003B16D8" w:rsidRPr="008528B9">
        <w:rPr>
          <w:rStyle w:val="normaltextrun"/>
          <w:color w:val="000000"/>
          <w:shd w:val="clear" w:color="auto" w:fill="FFFFFF"/>
        </w:rPr>
        <w:t>discrimination ha</w:t>
      </w:r>
      <w:r w:rsidR="00504772" w:rsidRPr="008528B9">
        <w:rPr>
          <w:rStyle w:val="normaltextrun"/>
          <w:color w:val="000000"/>
          <w:shd w:val="clear" w:color="auto" w:fill="FFFFFF"/>
        </w:rPr>
        <w:t>s</w:t>
      </w:r>
      <w:r w:rsidR="003B16D8" w:rsidRPr="008528B9">
        <w:rPr>
          <w:rStyle w:val="normaltextrun"/>
          <w:color w:val="000000"/>
          <w:shd w:val="clear" w:color="auto" w:fill="FFFFFF"/>
        </w:rPr>
        <w:t xml:space="preserve"> </w:t>
      </w:r>
      <w:r w:rsidR="00BD6AF7">
        <w:rPr>
          <w:rStyle w:val="normaltextrun"/>
          <w:color w:val="000000"/>
          <w:shd w:val="clear" w:color="auto" w:fill="FFFFFF"/>
        </w:rPr>
        <w:t xml:space="preserve">yet </w:t>
      </w:r>
      <w:r w:rsidR="00356C2D">
        <w:rPr>
          <w:rStyle w:val="normaltextrun"/>
          <w:color w:val="000000"/>
          <w:shd w:val="clear" w:color="auto" w:fill="FFFFFF"/>
        </w:rPr>
        <w:t xml:space="preserve">to be </w:t>
      </w:r>
      <w:r w:rsidR="00BD6AF7">
        <w:rPr>
          <w:rStyle w:val="normaltextrun"/>
          <w:color w:val="000000"/>
          <w:shd w:val="clear" w:color="auto" w:fill="FFFFFF"/>
        </w:rPr>
        <w:t>implemented</w:t>
      </w:r>
      <w:r w:rsidR="003B16D8" w:rsidRPr="008528B9">
        <w:rPr>
          <w:rStyle w:val="normaltextrun"/>
          <w:color w:val="000000"/>
          <w:shd w:val="clear" w:color="auto" w:fill="FFFFFF"/>
        </w:rPr>
        <w:t>.</w:t>
      </w:r>
      <w:r w:rsidR="00C8250C" w:rsidRPr="008528B9">
        <w:rPr>
          <w:rStyle w:val="normaltextrun"/>
          <w:color w:val="000000"/>
          <w:shd w:val="clear" w:color="auto" w:fill="FFFFFF"/>
        </w:rPr>
        <w:t xml:space="preserve"> </w:t>
      </w:r>
    </w:p>
    <w:p w14:paraId="3F2F4CD9" w14:textId="77777777" w:rsidR="0051183A" w:rsidRPr="008528B9" w:rsidRDefault="0051183A" w:rsidP="00F43A4D">
      <w:pPr>
        <w:spacing w:after="0"/>
        <w:jc w:val="both"/>
        <w:rPr>
          <w:b/>
          <w:lang w:val="en-AU"/>
        </w:rPr>
      </w:pPr>
    </w:p>
    <w:p w14:paraId="70F9F3FB" w14:textId="299C9000" w:rsidR="0051183A" w:rsidRPr="008528B9" w:rsidRDefault="0051183A" w:rsidP="00F43A4D">
      <w:pPr>
        <w:spacing w:after="0"/>
        <w:jc w:val="both"/>
        <w:rPr>
          <w:rFonts w:asciiTheme="minorHAnsi" w:eastAsia="Times New Roman" w:hAnsiTheme="minorHAnsi" w:cstheme="minorHAnsi"/>
          <w:b/>
          <w:i/>
          <w:iCs/>
          <w:color w:val="4F81BD" w:themeColor="accent1"/>
          <w:lang w:eastAsia="en-NZ" w:bidi="ar-SA"/>
        </w:rPr>
      </w:pPr>
      <w:r w:rsidRPr="008528B9">
        <w:rPr>
          <w:rFonts w:asciiTheme="minorHAnsi" w:eastAsia="Times New Roman" w:hAnsiTheme="minorHAnsi" w:cstheme="minorHAnsi"/>
          <w:b/>
          <w:i/>
          <w:iCs/>
          <w:color w:val="4F81BD" w:themeColor="accent1"/>
          <w:lang w:eastAsia="en-NZ" w:bidi="ar-SA"/>
        </w:rPr>
        <w:t xml:space="preserve">Equality and non-discrimination </w:t>
      </w:r>
    </w:p>
    <w:p w14:paraId="05F81510" w14:textId="77777777" w:rsidR="0051183A" w:rsidRPr="008528B9" w:rsidRDefault="0051183A" w:rsidP="00F43A4D">
      <w:pPr>
        <w:spacing w:after="0"/>
        <w:jc w:val="both"/>
        <w:rPr>
          <w:b/>
          <w:lang w:val="en-AU"/>
        </w:rPr>
      </w:pPr>
    </w:p>
    <w:p w14:paraId="0BD0B357" w14:textId="4E8145B2" w:rsidR="00360F4F" w:rsidRPr="008528B9" w:rsidRDefault="009144C6" w:rsidP="00F43A4D">
      <w:pPr>
        <w:pStyle w:val="ListParagraph"/>
        <w:numPr>
          <w:ilvl w:val="0"/>
          <w:numId w:val="4"/>
        </w:numPr>
        <w:spacing w:after="0"/>
        <w:jc w:val="both"/>
      </w:pPr>
      <w:r w:rsidRPr="008528B9">
        <w:t xml:space="preserve">Disabled students continue to experience inequalities and discrimination in their access to and outcomes from education. </w:t>
      </w:r>
      <w:r w:rsidR="00072488" w:rsidRPr="008528B9">
        <w:t>Exclusion disrupts students' learning and impedes their capacity to be full and active participants in their community now and later in life.</w:t>
      </w:r>
      <w:r w:rsidR="00360F4F" w:rsidRPr="008528B9">
        <w:t xml:space="preserve"> Recent data from the Household Labour Force Survey for the June 2023 quarter provides evidence the education system is failing to deliver equality of opportunities and outcomes for disabled students. 43.9% of disabled youth aged 15 to 24 years were not in employment, education and training compared with 9.7 percent of non-disabled youth.</w:t>
      </w:r>
      <w:r w:rsidR="0081104B" w:rsidRPr="008528B9">
        <w:rPr>
          <w:rStyle w:val="EndnoteReference"/>
        </w:rPr>
        <w:endnoteReference w:id="9"/>
      </w:r>
    </w:p>
    <w:p w14:paraId="7891F871" w14:textId="77777777" w:rsidR="00081085" w:rsidRPr="008528B9" w:rsidRDefault="00081085" w:rsidP="00F43A4D">
      <w:pPr>
        <w:pStyle w:val="ListParagraph"/>
        <w:spacing w:after="0"/>
        <w:ind w:left="360"/>
        <w:jc w:val="both"/>
      </w:pPr>
    </w:p>
    <w:p w14:paraId="5CDCF0AD" w14:textId="6CD9FEBE" w:rsidR="00F319EC" w:rsidRPr="008528B9" w:rsidRDefault="008B30E5" w:rsidP="00F43A4D">
      <w:pPr>
        <w:pStyle w:val="ListParagraph"/>
        <w:numPr>
          <w:ilvl w:val="0"/>
          <w:numId w:val="4"/>
        </w:numPr>
        <w:spacing w:after="0"/>
        <w:jc w:val="both"/>
      </w:pPr>
      <w:r w:rsidRPr="008528B9">
        <w:t>On 28 September 2023 the Education</w:t>
      </w:r>
      <w:r w:rsidR="00107229" w:rsidRPr="008528B9">
        <w:t xml:space="preserve"> Review Office </w:t>
      </w:r>
      <w:r w:rsidRPr="008528B9">
        <w:t>released a report “</w:t>
      </w:r>
      <w:r w:rsidR="00107229" w:rsidRPr="00356C2D">
        <w:rPr>
          <w:i/>
          <w:iCs/>
        </w:rPr>
        <w:t>Thriving at School? Education for disabled learners in</w:t>
      </w:r>
      <w:r w:rsidRPr="00356C2D">
        <w:rPr>
          <w:i/>
          <w:iCs/>
        </w:rPr>
        <w:t xml:space="preserve"> </w:t>
      </w:r>
      <w:r w:rsidR="00107229" w:rsidRPr="00356C2D">
        <w:rPr>
          <w:i/>
          <w:iCs/>
        </w:rPr>
        <w:t>schools</w:t>
      </w:r>
      <w:r w:rsidRPr="008528B9">
        <w:t>.</w:t>
      </w:r>
      <w:r w:rsidR="00512D28" w:rsidRPr="008528B9">
        <w:t xml:space="preserve">” </w:t>
      </w:r>
      <w:r w:rsidR="00547758" w:rsidRPr="008528B9">
        <w:rPr>
          <w:rStyle w:val="EndnoteReference"/>
        </w:rPr>
        <w:endnoteReference w:id="10"/>
      </w:r>
      <w:r w:rsidRPr="008528B9">
        <w:t xml:space="preserve"> This </w:t>
      </w:r>
      <w:r w:rsidR="006D63C4" w:rsidRPr="008528B9">
        <w:t xml:space="preserve">found many disabled learners are still experiencing exclusion, being discouraged from enrolling in their local schools, asked to stay home due to resourcing issues, </w:t>
      </w:r>
      <w:r w:rsidR="00356C2D">
        <w:t xml:space="preserve">being </w:t>
      </w:r>
      <w:r w:rsidR="006D63C4" w:rsidRPr="008528B9">
        <w:t>stood down and are having to move schools.</w:t>
      </w:r>
    </w:p>
    <w:p w14:paraId="48B0105F" w14:textId="77777777" w:rsidR="00421CFE" w:rsidRPr="008528B9" w:rsidRDefault="00421CFE" w:rsidP="00F43A4D">
      <w:pPr>
        <w:pStyle w:val="NoSpacing"/>
        <w:spacing w:line="276" w:lineRule="auto"/>
        <w:jc w:val="both"/>
      </w:pPr>
    </w:p>
    <w:p w14:paraId="4B5F7507" w14:textId="69DEBAB2" w:rsidR="006D63C4" w:rsidRPr="008528B9" w:rsidRDefault="006D63C4" w:rsidP="00F43A4D">
      <w:pPr>
        <w:pStyle w:val="ListParagraph"/>
        <w:numPr>
          <w:ilvl w:val="0"/>
          <w:numId w:val="4"/>
        </w:numPr>
        <w:spacing w:after="0"/>
        <w:jc w:val="both"/>
      </w:pPr>
      <w:r w:rsidRPr="008528B9">
        <w:t xml:space="preserve">The Ministry of </w:t>
      </w:r>
      <w:r w:rsidR="003E03C8" w:rsidRPr="008528B9">
        <w:t xml:space="preserve">Education’s </w:t>
      </w:r>
      <w:r w:rsidRPr="008528B9">
        <w:t>review of supports for students with the highest level of learning support needs, released on 17 November 2022</w:t>
      </w:r>
      <w:r w:rsidR="00512D28" w:rsidRPr="008528B9">
        <w:rPr>
          <w:rStyle w:val="EndnoteReference"/>
        </w:rPr>
        <w:endnoteReference w:id="11"/>
      </w:r>
      <w:r w:rsidRPr="008528B9">
        <w:t xml:space="preserve">, </w:t>
      </w:r>
      <w:r w:rsidR="00356C2D">
        <w:t xml:space="preserve">found </w:t>
      </w:r>
      <w:r w:rsidRPr="008528B9">
        <w:t xml:space="preserve">these students are still experiencing persistent barriers to being able to participate, progress and achieve in their education. </w:t>
      </w:r>
      <w:r w:rsidR="00D90129" w:rsidRPr="008528B9">
        <w:t xml:space="preserve">The Government acknowledged that it has multiple sources of evidence confirming these persisting issues. </w:t>
      </w:r>
      <w:r w:rsidR="00D21FBF">
        <w:t>A</w:t>
      </w:r>
      <w:r w:rsidRPr="008528B9">
        <w:t>n analysis undertaken by the Social Well- Being Agency</w:t>
      </w:r>
      <w:r w:rsidR="005C63FD" w:rsidRPr="008528B9">
        <w:rPr>
          <w:rStyle w:val="EndnoteReference"/>
        </w:rPr>
        <w:endnoteReference w:id="12"/>
      </w:r>
      <w:r w:rsidRPr="008528B9">
        <w:t xml:space="preserve"> note</w:t>
      </w:r>
      <w:r w:rsidR="00D21FBF">
        <w:t>d</w:t>
      </w:r>
      <w:r w:rsidRPr="008528B9">
        <w:t xml:space="preserve"> for every seven students receiv</w:t>
      </w:r>
      <w:r w:rsidR="00D21FBF">
        <w:t>ing</w:t>
      </w:r>
      <w:r w:rsidRPr="008528B9">
        <w:t xml:space="preserve"> high needs support there are about three with the same level of need who potentially have an unmet need. Māori students are overrepresented in this group. This has lifelong social, emotional, and educational impacts for these students.  </w:t>
      </w:r>
    </w:p>
    <w:p w14:paraId="6071847F" w14:textId="77777777" w:rsidR="00AC458A" w:rsidRPr="008528B9" w:rsidRDefault="00AC458A" w:rsidP="00F43A4D">
      <w:pPr>
        <w:spacing w:after="0"/>
        <w:jc w:val="both"/>
        <w:rPr>
          <w:b/>
        </w:rPr>
      </w:pPr>
    </w:p>
    <w:p w14:paraId="38F798FF" w14:textId="2988BB46" w:rsidR="00AC458A" w:rsidRPr="008528B9" w:rsidRDefault="00AC458A" w:rsidP="00F43A4D">
      <w:pPr>
        <w:spacing w:after="0"/>
        <w:jc w:val="both"/>
        <w:rPr>
          <w:b/>
          <w:lang w:val="en-AU"/>
        </w:rPr>
      </w:pPr>
      <w:r w:rsidRPr="008528B9">
        <w:rPr>
          <w:b/>
          <w:lang w:val="en-AU"/>
        </w:rPr>
        <w:t>Recommendation</w:t>
      </w:r>
    </w:p>
    <w:p w14:paraId="7B5EA853" w14:textId="77777777" w:rsidR="00AC458A" w:rsidRPr="008528B9" w:rsidRDefault="00AC458A" w:rsidP="00F43A4D">
      <w:pPr>
        <w:spacing w:after="0"/>
        <w:jc w:val="both"/>
        <w:rPr>
          <w:b/>
          <w:lang w:val="en-AU"/>
        </w:rPr>
      </w:pPr>
    </w:p>
    <w:p w14:paraId="73A5B992" w14:textId="5CD1434E" w:rsidR="00AC458A" w:rsidRPr="008528B9" w:rsidRDefault="002D6C90" w:rsidP="00F43A4D">
      <w:pPr>
        <w:pStyle w:val="SingleTxtG"/>
        <w:spacing w:line="276" w:lineRule="auto"/>
        <w:ind w:left="0" w:right="95"/>
        <w:rPr>
          <w:rFonts w:ascii="Calibri" w:eastAsia="Calibri" w:hAnsi="Calibri" w:cs="Arial"/>
          <w:b/>
          <w:bCs/>
          <w:sz w:val="22"/>
          <w:szCs w:val="22"/>
          <w:lang w:val="en-NZ" w:eastAsia="en-US" w:bidi="he-IL"/>
        </w:rPr>
      </w:pPr>
      <w:r w:rsidRPr="008528B9">
        <w:rPr>
          <w:rFonts w:ascii="Calibri" w:eastAsia="Calibri" w:hAnsi="Calibri" w:cs="Arial"/>
          <w:b/>
          <w:bCs/>
          <w:sz w:val="22"/>
          <w:szCs w:val="22"/>
          <w:lang w:val="en-AU" w:eastAsia="en-US" w:bidi="he-IL"/>
        </w:rPr>
        <w:t>T</w:t>
      </w:r>
      <w:r w:rsidR="00F517B2" w:rsidRPr="008528B9">
        <w:rPr>
          <w:rFonts w:ascii="Calibri" w:eastAsia="Calibri" w:hAnsi="Calibri" w:cs="Arial"/>
          <w:b/>
          <w:bCs/>
          <w:sz w:val="22"/>
          <w:szCs w:val="22"/>
          <w:lang w:val="en-AU" w:eastAsia="en-US" w:bidi="he-IL"/>
        </w:rPr>
        <w:t>he</w:t>
      </w:r>
      <w:r w:rsidR="00247934" w:rsidRPr="008528B9">
        <w:rPr>
          <w:rFonts w:ascii="Calibri" w:eastAsia="Calibri" w:hAnsi="Calibri" w:cs="Arial"/>
          <w:b/>
          <w:bCs/>
          <w:sz w:val="22"/>
          <w:szCs w:val="22"/>
          <w:lang w:val="en-NZ" w:eastAsia="en-US" w:bidi="he-IL"/>
        </w:rPr>
        <w:t xml:space="preserve"> </w:t>
      </w:r>
      <w:r w:rsidR="00AC458A" w:rsidRPr="008528B9">
        <w:rPr>
          <w:rFonts w:ascii="Calibri" w:eastAsia="Calibri" w:hAnsi="Calibri" w:cs="Arial"/>
          <w:b/>
          <w:bCs/>
          <w:sz w:val="22"/>
          <w:szCs w:val="22"/>
          <w:lang w:val="en-NZ" w:eastAsia="en-US" w:bidi="he-IL"/>
        </w:rPr>
        <w:t>Human Rights Act of 1993</w:t>
      </w:r>
      <w:r w:rsidR="00247934" w:rsidRPr="008528B9">
        <w:rPr>
          <w:rFonts w:ascii="Calibri" w:eastAsia="Calibri" w:hAnsi="Calibri" w:cs="Arial"/>
          <w:b/>
          <w:bCs/>
          <w:sz w:val="22"/>
          <w:szCs w:val="22"/>
          <w:lang w:val="en-NZ" w:eastAsia="en-US" w:bidi="he-IL"/>
        </w:rPr>
        <w:t xml:space="preserve"> is amended</w:t>
      </w:r>
      <w:r w:rsidR="00AC458A" w:rsidRPr="008528B9">
        <w:rPr>
          <w:rFonts w:ascii="Calibri" w:eastAsia="Calibri" w:hAnsi="Calibri" w:cs="Arial"/>
          <w:b/>
          <w:bCs/>
          <w:sz w:val="22"/>
          <w:szCs w:val="22"/>
          <w:lang w:val="en-NZ" w:eastAsia="en-US" w:bidi="he-IL"/>
        </w:rPr>
        <w:t xml:space="preserve"> to include an explicit recognition of the denial of reasonable accommodation as a form of discrimination and include a legislative definition of reasonable accommodation consistent with the meaning provided in </w:t>
      </w:r>
      <w:r w:rsidR="00975B60" w:rsidRPr="008528B9">
        <w:rPr>
          <w:rFonts w:ascii="Calibri" w:eastAsia="Calibri" w:hAnsi="Calibri" w:cs="Arial"/>
          <w:b/>
          <w:bCs/>
          <w:sz w:val="22"/>
          <w:szCs w:val="22"/>
          <w:lang w:val="en-NZ" w:eastAsia="en-US" w:bidi="he-IL"/>
        </w:rPr>
        <w:t>A</w:t>
      </w:r>
      <w:r w:rsidR="00AC458A" w:rsidRPr="008528B9">
        <w:rPr>
          <w:rFonts w:ascii="Calibri" w:eastAsia="Calibri" w:hAnsi="Calibri" w:cs="Arial"/>
          <w:b/>
          <w:bCs/>
          <w:sz w:val="22"/>
          <w:szCs w:val="22"/>
          <w:lang w:val="en-NZ" w:eastAsia="en-US" w:bidi="he-IL"/>
        </w:rPr>
        <w:t xml:space="preserve">rticle 2 of the </w:t>
      </w:r>
      <w:r w:rsidR="00E76A19" w:rsidRPr="008528B9">
        <w:rPr>
          <w:rFonts w:ascii="Calibri" w:eastAsia="Calibri" w:hAnsi="Calibri" w:cs="Arial"/>
          <w:b/>
          <w:bCs/>
          <w:sz w:val="22"/>
          <w:szCs w:val="22"/>
          <w:lang w:val="en-NZ" w:eastAsia="en-US" w:bidi="he-IL"/>
        </w:rPr>
        <w:t>CRPD.</w:t>
      </w:r>
    </w:p>
    <w:p w14:paraId="3E0B2C01" w14:textId="77777777" w:rsidR="0051183A" w:rsidRPr="008528B9" w:rsidRDefault="0051183A" w:rsidP="00F43A4D">
      <w:pPr>
        <w:spacing w:after="0"/>
        <w:jc w:val="both"/>
        <w:rPr>
          <w:b/>
          <w:lang w:val="en-AU"/>
        </w:rPr>
      </w:pPr>
    </w:p>
    <w:p w14:paraId="7D8574A5" w14:textId="2CA1D713" w:rsidR="00777DF6" w:rsidRPr="008528B9" w:rsidRDefault="00777DF6" w:rsidP="00F43A4D">
      <w:pPr>
        <w:spacing w:after="0"/>
        <w:jc w:val="both"/>
        <w:rPr>
          <w:rFonts w:asciiTheme="minorHAnsi" w:eastAsia="Times New Roman" w:hAnsiTheme="minorHAnsi" w:cstheme="minorHAnsi"/>
          <w:b/>
          <w:i/>
          <w:iCs/>
          <w:color w:val="4F81BD" w:themeColor="accent1"/>
          <w:lang w:eastAsia="en-NZ" w:bidi="ar-SA"/>
        </w:rPr>
      </w:pPr>
      <w:r w:rsidRPr="008528B9">
        <w:rPr>
          <w:rFonts w:asciiTheme="minorHAnsi" w:eastAsia="Times New Roman" w:hAnsiTheme="minorHAnsi" w:cstheme="minorHAnsi"/>
          <w:b/>
          <w:i/>
          <w:iCs/>
          <w:color w:val="4F81BD" w:themeColor="accent1"/>
          <w:lang w:eastAsia="en-NZ" w:bidi="ar-SA"/>
        </w:rPr>
        <w:t xml:space="preserve">Right to education </w:t>
      </w:r>
    </w:p>
    <w:p w14:paraId="57229B15" w14:textId="77777777" w:rsidR="0009653B" w:rsidRPr="008528B9" w:rsidRDefault="0009653B" w:rsidP="00F43A4D">
      <w:pPr>
        <w:spacing w:after="0"/>
        <w:jc w:val="both"/>
        <w:rPr>
          <w:rFonts w:asciiTheme="minorHAnsi" w:eastAsia="Times New Roman" w:hAnsiTheme="minorHAnsi" w:cstheme="minorHAnsi"/>
          <w:b/>
          <w:i/>
          <w:iCs/>
          <w:color w:val="4F81BD" w:themeColor="accent1"/>
          <w:lang w:eastAsia="en-NZ" w:bidi="ar-SA"/>
        </w:rPr>
      </w:pPr>
    </w:p>
    <w:p w14:paraId="7815EFB0" w14:textId="72EA8FFA" w:rsidR="00912652" w:rsidRPr="008528B9" w:rsidRDefault="005B672E" w:rsidP="00F43A4D">
      <w:pPr>
        <w:pStyle w:val="ListParagraph"/>
        <w:numPr>
          <w:ilvl w:val="0"/>
          <w:numId w:val="4"/>
        </w:numPr>
        <w:spacing w:after="0"/>
        <w:jc w:val="both"/>
        <w:rPr>
          <w:color w:val="000000"/>
          <w:lang w:eastAsia="en-GB"/>
        </w:rPr>
      </w:pPr>
      <w:r w:rsidRPr="008528B9">
        <w:rPr>
          <w:color w:val="000000"/>
          <w:lang w:eastAsia="en-GB"/>
        </w:rPr>
        <w:t xml:space="preserve">Education is vital for disabled people being able to </w:t>
      </w:r>
      <w:r w:rsidR="00A741DC" w:rsidRPr="008528B9">
        <w:rPr>
          <w:color w:val="000000"/>
          <w:lang w:eastAsia="en-GB"/>
        </w:rPr>
        <w:t xml:space="preserve">realise their </w:t>
      </w:r>
      <w:r w:rsidR="00912652" w:rsidRPr="008528B9">
        <w:rPr>
          <w:color w:val="000000"/>
          <w:lang w:eastAsia="en-GB"/>
        </w:rPr>
        <w:t>other humans’</w:t>
      </w:r>
      <w:r w:rsidR="00A741DC" w:rsidRPr="008528B9">
        <w:rPr>
          <w:color w:val="000000"/>
          <w:lang w:eastAsia="en-GB"/>
        </w:rPr>
        <w:t xml:space="preserve"> rights, fully participate in the community and exercise full citizenship. However, </w:t>
      </w:r>
      <w:r w:rsidR="00257226" w:rsidRPr="008528B9">
        <w:rPr>
          <w:color w:val="000000"/>
          <w:lang w:eastAsia="en-GB"/>
        </w:rPr>
        <w:t xml:space="preserve">disabled children and young people continue to experience </w:t>
      </w:r>
      <w:r w:rsidR="00A741DC" w:rsidRPr="008528B9">
        <w:rPr>
          <w:color w:val="000000"/>
          <w:lang w:eastAsia="en-GB"/>
        </w:rPr>
        <w:t xml:space="preserve">significant barriers to </w:t>
      </w:r>
      <w:r w:rsidR="00257226" w:rsidRPr="008528B9">
        <w:rPr>
          <w:color w:val="000000"/>
          <w:lang w:eastAsia="en-GB"/>
        </w:rPr>
        <w:t xml:space="preserve">equitable access to and outcomes from education and are over-represented in school disciplinary processes, particularly exclusions, both formal and informal. Many disabled children have conditions placed on their </w:t>
      </w:r>
      <w:r w:rsidR="00912652" w:rsidRPr="008528B9">
        <w:rPr>
          <w:color w:val="000000"/>
          <w:lang w:eastAsia="en-GB"/>
        </w:rPr>
        <w:t xml:space="preserve">enrolment and attendance at school. </w:t>
      </w:r>
    </w:p>
    <w:p w14:paraId="1D1D9450" w14:textId="77777777" w:rsidR="00912652" w:rsidRPr="008528B9" w:rsidRDefault="00912652" w:rsidP="00F43A4D">
      <w:pPr>
        <w:spacing w:after="0"/>
        <w:jc w:val="both"/>
        <w:rPr>
          <w:color w:val="000000"/>
          <w:lang w:eastAsia="en-GB"/>
        </w:rPr>
      </w:pPr>
    </w:p>
    <w:p w14:paraId="6ECFDBD2" w14:textId="090C264A" w:rsidR="0009653B" w:rsidRPr="008528B9" w:rsidRDefault="005B672E" w:rsidP="00F43A4D">
      <w:pPr>
        <w:pStyle w:val="ListParagraph"/>
        <w:numPr>
          <w:ilvl w:val="0"/>
          <w:numId w:val="4"/>
        </w:numPr>
        <w:spacing w:after="0"/>
        <w:jc w:val="both"/>
        <w:rPr>
          <w:color w:val="000000"/>
          <w:lang w:eastAsia="en-GB"/>
        </w:rPr>
      </w:pPr>
      <w:r w:rsidRPr="008528B9">
        <w:rPr>
          <w:color w:val="000000"/>
          <w:lang w:eastAsia="en-GB"/>
        </w:rPr>
        <w:t xml:space="preserve">New Zealand supported the </w:t>
      </w:r>
      <w:r w:rsidR="003C6B16">
        <w:rPr>
          <w:color w:val="000000"/>
          <w:lang w:eastAsia="en-GB"/>
        </w:rPr>
        <w:t xml:space="preserve">2019 </w:t>
      </w:r>
      <w:r w:rsidR="00356C2D">
        <w:rPr>
          <w:color w:val="000000"/>
          <w:lang w:eastAsia="en-GB"/>
        </w:rPr>
        <w:t xml:space="preserve">UPR </w:t>
      </w:r>
      <w:r w:rsidRPr="008528B9">
        <w:rPr>
          <w:color w:val="000000"/>
          <w:lang w:eastAsia="en-GB"/>
        </w:rPr>
        <w:t>recommendation to review all education, legislative and policy settings to ensure that schools provide accessible inclusive education for all.</w:t>
      </w:r>
      <w:r w:rsidRPr="008528B9">
        <w:rPr>
          <w:rStyle w:val="EndnoteReference"/>
          <w:color w:val="000000"/>
          <w:lang w:eastAsia="en-GB"/>
        </w:rPr>
        <w:endnoteReference w:id="13"/>
      </w:r>
      <w:r w:rsidR="00912652" w:rsidRPr="008528B9">
        <w:rPr>
          <w:color w:val="000000"/>
          <w:lang w:eastAsia="en-GB"/>
        </w:rPr>
        <w:t xml:space="preserve"> </w:t>
      </w:r>
      <w:r w:rsidR="00EB6536" w:rsidRPr="008528B9">
        <w:rPr>
          <w:color w:val="000000"/>
          <w:lang w:eastAsia="en-GB"/>
        </w:rPr>
        <w:t>However, d</w:t>
      </w:r>
      <w:r w:rsidR="00F03921" w:rsidRPr="008528B9">
        <w:rPr>
          <w:color w:val="000000"/>
          <w:lang w:eastAsia="en-GB"/>
        </w:rPr>
        <w:t xml:space="preserve">isabled children do not currently enjoy a substantive right to inclusive education as a key element of the legislative framework. </w:t>
      </w:r>
      <w:r w:rsidR="00D21FBF">
        <w:rPr>
          <w:color w:val="000000"/>
          <w:lang w:eastAsia="en-GB"/>
        </w:rPr>
        <w:t>N</w:t>
      </w:r>
      <w:r w:rsidR="00EF02D4" w:rsidRPr="008528B9">
        <w:rPr>
          <w:color w:val="000000"/>
          <w:lang w:eastAsia="en-GB"/>
        </w:rPr>
        <w:t xml:space="preserve">ew education legislation </w:t>
      </w:r>
      <w:r w:rsidR="00D21FBF">
        <w:rPr>
          <w:color w:val="000000"/>
          <w:lang w:eastAsia="en-GB"/>
        </w:rPr>
        <w:t xml:space="preserve">was </w:t>
      </w:r>
      <w:r w:rsidR="00531572" w:rsidRPr="008528B9">
        <w:rPr>
          <w:color w:val="000000"/>
          <w:lang w:eastAsia="en-GB"/>
        </w:rPr>
        <w:t xml:space="preserve">consulted on and </w:t>
      </w:r>
      <w:r w:rsidR="00EF02D4" w:rsidRPr="008528B9">
        <w:rPr>
          <w:color w:val="000000"/>
          <w:lang w:eastAsia="en-GB"/>
        </w:rPr>
        <w:t xml:space="preserve">enacted </w:t>
      </w:r>
      <w:r w:rsidR="00084FDB" w:rsidRPr="008528B9">
        <w:rPr>
          <w:color w:val="000000"/>
          <w:lang w:eastAsia="en-GB"/>
        </w:rPr>
        <w:t>in 2020</w:t>
      </w:r>
      <w:r w:rsidR="005D34FF" w:rsidRPr="008528B9">
        <w:rPr>
          <w:color w:val="000000"/>
          <w:lang w:eastAsia="en-GB"/>
        </w:rPr>
        <w:t xml:space="preserve">. </w:t>
      </w:r>
      <w:r w:rsidR="00F03921" w:rsidRPr="008528B9">
        <w:rPr>
          <w:color w:val="000000"/>
          <w:lang w:eastAsia="en-GB"/>
        </w:rPr>
        <w:t xml:space="preserve"> </w:t>
      </w:r>
      <w:r w:rsidR="00EF02D4" w:rsidRPr="008528B9">
        <w:rPr>
          <w:color w:val="000000"/>
          <w:lang w:eastAsia="en-GB"/>
        </w:rPr>
        <w:t xml:space="preserve"> </w:t>
      </w:r>
    </w:p>
    <w:p w14:paraId="4CDBB718" w14:textId="77777777" w:rsidR="00EF02D4" w:rsidRPr="008528B9" w:rsidRDefault="00EF02D4" w:rsidP="00F43A4D">
      <w:pPr>
        <w:spacing w:after="0"/>
        <w:jc w:val="both"/>
        <w:rPr>
          <w:color w:val="000000"/>
          <w:lang w:eastAsia="en-GB"/>
        </w:rPr>
      </w:pPr>
    </w:p>
    <w:p w14:paraId="64641EDC" w14:textId="3249C8E9" w:rsidR="00951AC4" w:rsidRPr="008528B9" w:rsidRDefault="00EF02D4" w:rsidP="00F43A4D">
      <w:pPr>
        <w:pStyle w:val="ListParagraph"/>
        <w:numPr>
          <w:ilvl w:val="0"/>
          <w:numId w:val="4"/>
        </w:numPr>
        <w:spacing w:after="0"/>
        <w:jc w:val="both"/>
        <w:rPr>
          <w:rFonts w:cstheme="minorHAnsi"/>
        </w:rPr>
      </w:pPr>
      <w:r w:rsidRPr="008528B9">
        <w:rPr>
          <w:rFonts w:cstheme="minorHAnsi"/>
        </w:rPr>
        <w:t xml:space="preserve">The </w:t>
      </w:r>
      <w:r w:rsidR="00EF59E8" w:rsidRPr="008528B9">
        <w:rPr>
          <w:rFonts w:cstheme="minorHAnsi"/>
        </w:rPr>
        <w:t xml:space="preserve">Ministry of Educations’ </w:t>
      </w:r>
      <w:r w:rsidRPr="008528B9">
        <w:rPr>
          <w:rFonts w:cstheme="minorHAnsi"/>
        </w:rPr>
        <w:t xml:space="preserve">Regulatory </w:t>
      </w:r>
      <w:r w:rsidR="00951AC4" w:rsidRPr="008528B9">
        <w:rPr>
          <w:rFonts w:cstheme="minorHAnsi"/>
        </w:rPr>
        <w:t>I</w:t>
      </w:r>
      <w:r w:rsidRPr="008528B9">
        <w:rPr>
          <w:rFonts w:cstheme="minorHAnsi"/>
        </w:rPr>
        <w:t xml:space="preserve">mpact </w:t>
      </w:r>
      <w:r w:rsidR="00951AC4" w:rsidRPr="008528B9">
        <w:rPr>
          <w:rFonts w:cstheme="minorHAnsi"/>
        </w:rPr>
        <w:t>S</w:t>
      </w:r>
      <w:r w:rsidRPr="008528B9">
        <w:rPr>
          <w:rFonts w:cstheme="minorHAnsi"/>
        </w:rPr>
        <w:t xml:space="preserve">ummary of </w:t>
      </w:r>
      <w:r w:rsidR="00EB6536" w:rsidRPr="008528B9">
        <w:rPr>
          <w:rFonts w:cstheme="minorHAnsi"/>
        </w:rPr>
        <w:t xml:space="preserve">the </w:t>
      </w:r>
      <w:r w:rsidRPr="008528B9">
        <w:rPr>
          <w:rFonts w:cstheme="minorHAnsi"/>
        </w:rPr>
        <w:t xml:space="preserve">proposed legislative changes </w:t>
      </w:r>
      <w:r w:rsidR="00975B60" w:rsidRPr="008528B9">
        <w:rPr>
          <w:rFonts w:cstheme="minorHAnsi"/>
        </w:rPr>
        <w:t xml:space="preserve">acknowledged: </w:t>
      </w:r>
      <w:r w:rsidR="00975B60" w:rsidRPr="008528B9">
        <w:rPr>
          <w:rFonts w:cstheme="minorHAnsi"/>
          <w:i/>
          <w:iCs/>
        </w:rPr>
        <w:t>“We</w:t>
      </w:r>
      <w:r w:rsidR="00EF59E8" w:rsidRPr="008528B9">
        <w:rPr>
          <w:rFonts w:cstheme="minorHAnsi"/>
          <w:i/>
          <w:iCs/>
        </w:rPr>
        <w:t xml:space="preserve"> have for some years now received consistent feedback from parents, disability groups and other organisations that students are being asked not to attend fulltime because the school cannot support them…</w:t>
      </w:r>
      <w:r w:rsidR="002131B2" w:rsidRPr="008528B9">
        <w:rPr>
          <w:rFonts w:cstheme="minorHAnsi"/>
          <w:i/>
          <w:iCs/>
        </w:rPr>
        <w:t xml:space="preserve">feedback to date suggests this happens frequently and has been a problem for many years. Denying </w:t>
      </w:r>
      <w:r w:rsidR="00E76A19" w:rsidRPr="008528B9">
        <w:rPr>
          <w:rFonts w:cstheme="minorHAnsi"/>
          <w:i/>
          <w:iCs/>
        </w:rPr>
        <w:t>students,</w:t>
      </w:r>
      <w:r w:rsidR="00951AC4" w:rsidRPr="008528B9">
        <w:rPr>
          <w:rFonts w:cstheme="minorHAnsi"/>
          <w:i/>
          <w:iCs/>
        </w:rPr>
        <w:t xml:space="preserve"> the ability to attend school results in poor learning outcomes for these students.” </w:t>
      </w:r>
    </w:p>
    <w:p w14:paraId="2057AC66" w14:textId="77777777" w:rsidR="000C3F8C" w:rsidRPr="008528B9" w:rsidRDefault="000C3F8C" w:rsidP="00F43A4D">
      <w:pPr>
        <w:pStyle w:val="NoSpacing"/>
        <w:spacing w:line="276" w:lineRule="auto"/>
        <w:jc w:val="both"/>
      </w:pPr>
    </w:p>
    <w:p w14:paraId="08614BA6" w14:textId="0C0122FF" w:rsidR="00EF02D4" w:rsidRPr="00350463" w:rsidRDefault="00951AC4" w:rsidP="00F43A4D">
      <w:pPr>
        <w:pStyle w:val="ListParagraph"/>
        <w:numPr>
          <w:ilvl w:val="0"/>
          <w:numId w:val="4"/>
        </w:numPr>
        <w:spacing w:after="0"/>
        <w:jc w:val="both"/>
        <w:rPr>
          <w:rFonts w:cstheme="minorHAnsi"/>
        </w:rPr>
      </w:pPr>
      <w:r w:rsidRPr="008528B9">
        <w:rPr>
          <w:rFonts w:cstheme="minorHAnsi"/>
        </w:rPr>
        <w:t>It was further noted</w:t>
      </w:r>
      <w:r w:rsidR="003C6B16">
        <w:rPr>
          <w:rFonts w:cstheme="minorHAnsi"/>
        </w:rPr>
        <w:t xml:space="preserve"> that</w:t>
      </w:r>
      <w:r w:rsidRPr="008528B9">
        <w:rPr>
          <w:rFonts w:cstheme="minorHAnsi"/>
        </w:rPr>
        <w:t>; “</w:t>
      </w:r>
      <w:r w:rsidR="006938EB" w:rsidRPr="008528B9">
        <w:rPr>
          <w:rFonts w:cstheme="minorHAnsi"/>
          <w:i/>
          <w:iCs/>
        </w:rPr>
        <w:t>The UN recommended that New Zealand establish an enforceable right to education in its last review of the UNCRPD in 2015</w:t>
      </w:r>
      <w:r w:rsidR="008717B0" w:rsidRPr="008528B9">
        <w:rPr>
          <w:rFonts w:cstheme="minorHAnsi"/>
          <w:i/>
          <w:iCs/>
        </w:rPr>
        <w:t>…. Stakeholders</w:t>
      </w:r>
      <w:r w:rsidR="00EF02D4" w:rsidRPr="008528B9">
        <w:rPr>
          <w:rFonts w:cstheme="minorHAnsi"/>
          <w:i/>
          <w:iCs/>
        </w:rPr>
        <w:t xml:space="preserve"> including the Disability Rights Commissioner, the Children’s Commissioner, and IHC recommended that the legislation be amended to give an explicit commitment to New </w:t>
      </w:r>
      <w:r w:rsidR="00531572" w:rsidRPr="008528B9">
        <w:rPr>
          <w:rFonts w:cstheme="minorHAnsi"/>
          <w:i/>
          <w:iCs/>
        </w:rPr>
        <w:t>Ze</w:t>
      </w:r>
      <w:r w:rsidR="006938EB" w:rsidRPr="008528B9">
        <w:rPr>
          <w:rFonts w:cstheme="minorHAnsi"/>
          <w:i/>
          <w:iCs/>
        </w:rPr>
        <w:t>a</w:t>
      </w:r>
      <w:r w:rsidR="00531572" w:rsidRPr="008528B9">
        <w:rPr>
          <w:rFonts w:cstheme="minorHAnsi"/>
          <w:i/>
          <w:iCs/>
        </w:rPr>
        <w:t>land’s international</w:t>
      </w:r>
      <w:r w:rsidR="00EF02D4" w:rsidRPr="008528B9">
        <w:rPr>
          <w:rFonts w:cstheme="minorHAnsi"/>
          <w:i/>
          <w:iCs/>
        </w:rPr>
        <w:t xml:space="preserve"> obligations, particularly those under UNCROC and UNCRPD.</w:t>
      </w:r>
      <w:r w:rsidR="005F6F23" w:rsidRPr="008528B9">
        <w:rPr>
          <w:rFonts w:cstheme="minorHAnsi"/>
          <w:i/>
          <w:iCs/>
        </w:rPr>
        <w:t>”</w:t>
      </w:r>
      <w:r w:rsidR="00EF02D4" w:rsidRPr="008528B9">
        <w:rPr>
          <w:rFonts w:cstheme="minorHAnsi"/>
        </w:rPr>
        <w:t xml:space="preserve"> </w:t>
      </w:r>
      <w:r w:rsidR="00531572" w:rsidRPr="008528B9">
        <w:rPr>
          <w:rFonts w:cstheme="minorHAnsi"/>
        </w:rPr>
        <w:t xml:space="preserve">The Ministry of Education acknowledged that </w:t>
      </w:r>
      <w:r w:rsidR="001D3974" w:rsidRPr="008528B9">
        <w:rPr>
          <w:rFonts w:cstheme="minorHAnsi"/>
        </w:rPr>
        <w:t xml:space="preserve">the changes recommended were </w:t>
      </w:r>
      <w:r w:rsidR="00E76A19" w:rsidRPr="008528B9">
        <w:rPr>
          <w:rFonts w:cstheme="minorHAnsi"/>
        </w:rPr>
        <w:t>“…</w:t>
      </w:r>
      <w:r w:rsidR="00531572" w:rsidRPr="008528B9">
        <w:rPr>
          <w:rFonts w:cstheme="minorHAnsi"/>
          <w:i/>
          <w:iCs/>
        </w:rPr>
        <w:t>not intended to make us fully compliant with our international obligations. “</w:t>
      </w:r>
      <w:r w:rsidR="005F6F23" w:rsidRPr="008528B9">
        <w:rPr>
          <w:rStyle w:val="EndnoteReference"/>
          <w:rFonts w:cstheme="minorHAnsi"/>
          <w:i/>
          <w:iCs/>
        </w:rPr>
        <w:endnoteReference w:id="14"/>
      </w:r>
      <w:r w:rsidR="00531572" w:rsidRPr="008528B9">
        <w:rPr>
          <w:rFonts w:cstheme="minorHAnsi"/>
          <w:i/>
          <w:iCs/>
        </w:rPr>
        <w:t xml:space="preserve"> </w:t>
      </w:r>
    </w:p>
    <w:p w14:paraId="687DBC35" w14:textId="77777777" w:rsidR="00350463" w:rsidRPr="00350463" w:rsidRDefault="00350463" w:rsidP="00F43A4D">
      <w:pPr>
        <w:spacing w:after="0"/>
        <w:jc w:val="both"/>
        <w:rPr>
          <w:rFonts w:cstheme="minorHAnsi"/>
        </w:rPr>
      </w:pPr>
    </w:p>
    <w:p w14:paraId="01F7BEF9" w14:textId="442E1E4C" w:rsidR="00CF1D30" w:rsidRPr="008528B9" w:rsidRDefault="001D3974" w:rsidP="00F43A4D">
      <w:pPr>
        <w:jc w:val="both"/>
        <w:rPr>
          <w:rFonts w:cstheme="minorHAnsi"/>
          <w:b/>
          <w:bCs/>
        </w:rPr>
      </w:pPr>
      <w:r w:rsidRPr="008528B9">
        <w:rPr>
          <w:rFonts w:cstheme="minorHAnsi"/>
          <w:b/>
          <w:bCs/>
        </w:rPr>
        <w:t>Recommendations</w:t>
      </w:r>
    </w:p>
    <w:p w14:paraId="6D5FA3F7" w14:textId="6CB93E68" w:rsidR="008630BE" w:rsidRPr="008528B9" w:rsidRDefault="003C6B16" w:rsidP="00F43A4D">
      <w:pPr>
        <w:jc w:val="both"/>
        <w:rPr>
          <w:rFonts w:cstheme="minorHAnsi"/>
          <w:b/>
          <w:bCs/>
        </w:rPr>
      </w:pPr>
      <w:r>
        <w:rPr>
          <w:rFonts w:cstheme="minorHAnsi"/>
          <w:b/>
          <w:bCs/>
        </w:rPr>
        <w:t>T</w:t>
      </w:r>
      <w:r w:rsidR="00643784" w:rsidRPr="008528B9">
        <w:rPr>
          <w:rFonts w:cstheme="minorHAnsi"/>
          <w:b/>
          <w:bCs/>
        </w:rPr>
        <w:t xml:space="preserve">he Education and Training Act 2020 </w:t>
      </w:r>
      <w:r>
        <w:rPr>
          <w:rFonts w:cstheme="minorHAnsi"/>
          <w:b/>
          <w:bCs/>
        </w:rPr>
        <w:t xml:space="preserve">is amended </w:t>
      </w:r>
      <w:r w:rsidR="00643784" w:rsidRPr="008528B9">
        <w:rPr>
          <w:rFonts w:cstheme="minorHAnsi"/>
          <w:b/>
          <w:bCs/>
        </w:rPr>
        <w:t>to include an e</w:t>
      </w:r>
      <w:r w:rsidR="008630BE" w:rsidRPr="008528B9">
        <w:rPr>
          <w:rFonts w:cstheme="minorHAnsi"/>
          <w:b/>
          <w:bCs/>
        </w:rPr>
        <w:t>nforceable right</w:t>
      </w:r>
      <w:r w:rsidR="00643784" w:rsidRPr="008528B9">
        <w:rPr>
          <w:rFonts w:cstheme="minorHAnsi"/>
          <w:b/>
          <w:bCs/>
        </w:rPr>
        <w:t xml:space="preserve"> to inclusive education and reasonable accommodation</w:t>
      </w:r>
      <w:r>
        <w:rPr>
          <w:rFonts w:cstheme="minorHAnsi"/>
          <w:b/>
          <w:bCs/>
        </w:rPr>
        <w:t xml:space="preserve"> as recommended by the CRPD Committee in 2015</w:t>
      </w:r>
      <w:r w:rsidR="00643784" w:rsidRPr="008528B9">
        <w:rPr>
          <w:rFonts w:cstheme="minorHAnsi"/>
          <w:b/>
          <w:bCs/>
        </w:rPr>
        <w:t>.</w:t>
      </w:r>
    </w:p>
    <w:p w14:paraId="7E41612F" w14:textId="51D5CB06" w:rsidR="00A34E90" w:rsidRPr="008528B9" w:rsidRDefault="00A34E90" w:rsidP="00F43A4D">
      <w:pPr>
        <w:spacing w:after="0"/>
        <w:jc w:val="both"/>
        <w:rPr>
          <w:rFonts w:asciiTheme="minorHAnsi" w:eastAsia="Times New Roman" w:hAnsiTheme="minorHAnsi" w:cstheme="minorHAnsi"/>
          <w:b/>
          <w:i/>
          <w:iCs/>
          <w:color w:val="4F81BD" w:themeColor="accent1"/>
          <w:lang w:eastAsia="en-NZ" w:bidi="ar-SA"/>
        </w:rPr>
      </w:pPr>
      <w:r w:rsidRPr="008528B9">
        <w:rPr>
          <w:rFonts w:asciiTheme="minorHAnsi" w:eastAsia="Times New Roman" w:hAnsiTheme="minorHAnsi" w:cstheme="minorHAnsi"/>
          <w:b/>
          <w:i/>
          <w:iCs/>
          <w:color w:val="4F81BD" w:themeColor="accent1"/>
          <w:lang w:eastAsia="en-NZ" w:bidi="ar-SA"/>
        </w:rPr>
        <w:t xml:space="preserve">Disabled people </w:t>
      </w:r>
    </w:p>
    <w:p w14:paraId="31773AB8" w14:textId="100FD55F" w:rsidR="002A40B2" w:rsidRPr="008528B9" w:rsidRDefault="002A40B2" w:rsidP="00F43A4D">
      <w:pPr>
        <w:spacing w:after="0"/>
        <w:jc w:val="both"/>
        <w:rPr>
          <w:rFonts w:asciiTheme="minorHAnsi" w:eastAsia="Times New Roman" w:hAnsiTheme="minorHAnsi" w:cstheme="minorHAnsi"/>
          <w:b/>
          <w:i/>
          <w:iCs/>
          <w:color w:val="4F81BD" w:themeColor="accent1"/>
          <w:lang w:eastAsia="en-NZ" w:bidi="ar-SA"/>
        </w:rPr>
      </w:pPr>
    </w:p>
    <w:p w14:paraId="45C9C2FF" w14:textId="6650E6D6" w:rsidR="0022779E" w:rsidRPr="008528B9" w:rsidRDefault="0022779E" w:rsidP="00F43A4D">
      <w:pPr>
        <w:pStyle w:val="ListParagraph"/>
        <w:numPr>
          <w:ilvl w:val="0"/>
          <w:numId w:val="4"/>
        </w:numPr>
        <w:spacing w:after="0"/>
        <w:jc w:val="both"/>
        <w:rPr>
          <w:rFonts w:ascii="Times New Roman" w:hAnsi="Times New Roman" w:cs="Times New Roman"/>
          <w:lang w:eastAsia="zh-CN"/>
        </w:rPr>
      </w:pPr>
      <w:r w:rsidRPr="008528B9">
        <w:t xml:space="preserve">Inclusion is key to achieving disabled children and young </w:t>
      </w:r>
      <w:r w:rsidR="0009390A" w:rsidRPr="008528B9">
        <w:t>people’s</w:t>
      </w:r>
      <w:r w:rsidRPr="008528B9">
        <w:t xml:space="preserve"> fundamental right to education under article 24 of the CRPD.</w:t>
      </w:r>
      <w:r w:rsidR="009F1118" w:rsidRPr="008528B9">
        <w:rPr>
          <w:rStyle w:val="EndnoteReference"/>
        </w:rPr>
        <w:endnoteReference w:id="15"/>
      </w:r>
      <w:r w:rsidRPr="008528B9">
        <w:t xml:space="preserve"> </w:t>
      </w:r>
      <w:r w:rsidR="00856BFD" w:rsidRPr="008528B9">
        <w:rPr>
          <w:rFonts w:eastAsia="Times New Roman" w:cstheme="minorHAnsi"/>
          <w:color w:val="000000"/>
          <w:lang w:eastAsia="en-NZ"/>
        </w:rPr>
        <w:t xml:space="preserve">New Zealand supported </w:t>
      </w:r>
      <w:r w:rsidR="003C6B16">
        <w:rPr>
          <w:rFonts w:eastAsia="Times New Roman" w:cstheme="minorHAnsi"/>
          <w:color w:val="000000"/>
          <w:lang w:eastAsia="en-NZ"/>
        </w:rPr>
        <w:t xml:space="preserve">the 2019 UPR </w:t>
      </w:r>
      <w:r w:rsidR="00856BFD" w:rsidRPr="008528B9">
        <w:rPr>
          <w:rFonts w:eastAsia="Times New Roman" w:cstheme="minorHAnsi"/>
          <w:color w:val="000000"/>
          <w:lang w:eastAsia="en-NZ"/>
        </w:rPr>
        <w:t>recommendations concerning the right of disabled children and young people to quality inclusive education and to increase the provision of reasonable accommodation.</w:t>
      </w:r>
      <w:r w:rsidR="005A2C0B" w:rsidRPr="008528B9">
        <w:rPr>
          <w:rStyle w:val="EndnoteReference"/>
          <w:rFonts w:eastAsia="Times New Roman" w:cstheme="minorHAnsi"/>
          <w:color w:val="000000"/>
          <w:lang w:eastAsia="en-NZ"/>
        </w:rPr>
        <w:endnoteReference w:id="16"/>
      </w:r>
      <w:r w:rsidR="00856BFD" w:rsidRPr="008528B9">
        <w:rPr>
          <w:rFonts w:eastAsia="Times New Roman" w:cstheme="minorHAnsi"/>
          <w:color w:val="000000"/>
          <w:lang w:eastAsia="en-NZ"/>
        </w:rPr>
        <w:t xml:space="preserve"> </w:t>
      </w:r>
      <w:r w:rsidR="00421CFE" w:rsidRPr="008528B9">
        <w:rPr>
          <w:rFonts w:eastAsia="Times New Roman" w:cstheme="minorHAnsi"/>
          <w:color w:val="000000"/>
          <w:lang w:eastAsia="en-NZ"/>
        </w:rPr>
        <w:t xml:space="preserve">However, </w:t>
      </w:r>
      <w:r w:rsidR="00421CFE" w:rsidRPr="008528B9">
        <w:t>New</w:t>
      </w:r>
      <w:r w:rsidR="0009390A" w:rsidRPr="008528B9">
        <w:t xml:space="preserve"> Zealand still has an ongoing need to build a fully inclusive education system for disabled children and young people.</w:t>
      </w:r>
    </w:p>
    <w:p w14:paraId="1C328446" w14:textId="77777777" w:rsidR="0009390A" w:rsidRPr="008528B9" w:rsidRDefault="0009390A" w:rsidP="00F43A4D">
      <w:pPr>
        <w:pStyle w:val="ListParagraph"/>
        <w:spacing w:after="0"/>
        <w:ind w:left="360"/>
        <w:jc w:val="both"/>
        <w:rPr>
          <w:rFonts w:ascii="Times New Roman" w:hAnsi="Times New Roman" w:cs="Times New Roman"/>
          <w:lang w:eastAsia="zh-CN"/>
        </w:rPr>
      </w:pPr>
    </w:p>
    <w:p w14:paraId="59F0C3E0" w14:textId="5CE6C0BB" w:rsidR="008E706C" w:rsidRDefault="0009390A" w:rsidP="00F43A4D">
      <w:pPr>
        <w:pStyle w:val="ListParagraph"/>
        <w:numPr>
          <w:ilvl w:val="0"/>
          <w:numId w:val="4"/>
        </w:numPr>
        <w:spacing w:after="160"/>
        <w:contextualSpacing w:val="0"/>
        <w:jc w:val="both"/>
      </w:pPr>
      <w:r w:rsidRPr="008528B9">
        <w:t xml:space="preserve">Education is not inclusive where disabled students are segregated from their non-disabled peers, not able to attend school for the same number of hours as their non-disabled peers, or not able to participate in all aspects of school life. The </w:t>
      </w:r>
      <w:r w:rsidR="00081300" w:rsidRPr="008528B9">
        <w:t xml:space="preserve">CRPD </w:t>
      </w:r>
      <w:r w:rsidRPr="008528B9">
        <w:t>Committee has made clear that education of disabled students should not be provided in separate environments in isolation from students without disabilities.</w:t>
      </w:r>
      <w:r w:rsidR="00081300" w:rsidRPr="008528B9">
        <w:rPr>
          <w:rStyle w:val="EndnoteReference"/>
        </w:rPr>
        <w:endnoteReference w:id="17"/>
      </w:r>
      <w:r w:rsidRPr="008528B9">
        <w:rPr>
          <w:rStyle w:val="FootnoteReference"/>
        </w:rPr>
        <w:t xml:space="preserve"> </w:t>
      </w:r>
      <w:r w:rsidRPr="008528B9">
        <w:t xml:space="preserve">Full realization of </w:t>
      </w:r>
      <w:r w:rsidR="00F319EC" w:rsidRPr="008528B9">
        <w:t>A</w:t>
      </w:r>
      <w:r w:rsidRPr="008528B9">
        <w:t>rticle 24 is not compatible with sustaining two systems of education: mainstream and special/segregated education systems.</w:t>
      </w:r>
      <w:r w:rsidR="00651F7E" w:rsidRPr="008528B9">
        <w:rPr>
          <w:rStyle w:val="EndnoteReference"/>
        </w:rPr>
        <w:endnoteReference w:id="18"/>
      </w:r>
      <w:r w:rsidR="00651F7E" w:rsidRPr="008528B9">
        <w:t xml:space="preserve"> </w:t>
      </w:r>
      <w:r w:rsidRPr="008528B9">
        <w:t>The Committee has also said that inclusive education is incompatible with institutionalisation of persons with disabilities.</w:t>
      </w:r>
      <w:r w:rsidR="00CB3258" w:rsidRPr="008528B9">
        <w:rPr>
          <w:rStyle w:val="EndnoteReference"/>
        </w:rPr>
        <w:endnoteReference w:id="19"/>
      </w:r>
      <w:r w:rsidR="00CB3258" w:rsidRPr="008528B9">
        <w:t xml:space="preserve"> </w:t>
      </w:r>
      <w:r w:rsidRPr="008528B9">
        <w:t>Disabled students should be able to attend primary and secondary schools within the communities where they live and should not be sent away from home.</w:t>
      </w:r>
      <w:r w:rsidR="007B239B" w:rsidRPr="008528B9">
        <w:rPr>
          <w:rStyle w:val="EndnoteReference"/>
        </w:rPr>
        <w:endnoteReference w:id="20"/>
      </w:r>
    </w:p>
    <w:p w14:paraId="50235169" w14:textId="77777777" w:rsidR="008460E0" w:rsidRDefault="008460E0" w:rsidP="008460E0">
      <w:pPr>
        <w:pStyle w:val="ListParagraph"/>
      </w:pPr>
    </w:p>
    <w:p w14:paraId="16D3A310" w14:textId="77777777" w:rsidR="008460E0" w:rsidRPr="008460E0" w:rsidRDefault="008460E0" w:rsidP="008460E0">
      <w:pPr>
        <w:spacing w:after="160"/>
        <w:jc w:val="both"/>
      </w:pPr>
    </w:p>
    <w:p w14:paraId="3030DAA5" w14:textId="1FF6CBAF" w:rsidR="00BB5A72" w:rsidRPr="008528B9" w:rsidRDefault="00400251" w:rsidP="00F43A4D">
      <w:pPr>
        <w:pStyle w:val="NoSpacing"/>
        <w:spacing w:line="276" w:lineRule="auto"/>
        <w:jc w:val="both"/>
        <w:rPr>
          <w:rFonts w:asciiTheme="minorHAnsi" w:eastAsia="Times New Roman" w:hAnsiTheme="minorHAnsi" w:cstheme="minorHAnsi"/>
          <w:bCs/>
          <w:i/>
          <w:iCs/>
          <w:color w:val="4F81BD" w:themeColor="accent1"/>
          <w:lang w:eastAsia="en-NZ" w:bidi="ar-SA"/>
        </w:rPr>
      </w:pPr>
      <w:r w:rsidRPr="008528B9">
        <w:rPr>
          <w:rFonts w:asciiTheme="minorHAnsi" w:eastAsia="Times New Roman" w:hAnsiTheme="minorHAnsi" w:cstheme="minorHAnsi"/>
          <w:bCs/>
          <w:i/>
          <w:iCs/>
          <w:color w:val="4F81BD" w:themeColor="accent1"/>
          <w:lang w:eastAsia="en-NZ" w:bidi="ar-SA"/>
        </w:rPr>
        <w:lastRenderedPageBreak/>
        <w:t xml:space="preserve">Sustaining a dual education system is inconsistent with </w:t>
      </w:r>
      <w:r w:rsidR="002A1F9D" w:rsidRPr="008528B9">
        <w:rPr>
          <w:rFonts w:asciiTheme="minorHAnsi" w:eastAsia="Times New Roman" w:hAnsiTheme="minorHAnsi" w:cstheme="minorHAnsi"/>
          <w:bCs/>
          <w:i/>
          <w:iCs/>
          <w:color w:val="4F81BD" w:themeColor="accent1"/>
          <w:lang w:eastAsia="en-NZ" w:bidi="ar-SA"/>
        </w:rPr>
        <w:t xml:space="preserve">Article 24 of the UNCRPD </w:t>
      </w:r>
    </w:p>
    <w:p w14:paraId="3927E050" w14:textId="77777777" w:rsidR="002A1F9D" w:rsidRPr="008528B9" w:rsidRDefault="002A1F9D" w:rsidP="00F43A4D">
      <w:pPr>
        <w:pStyle w:val="NoSpacing"/>
        <w:spacing w:line="276" w:lineRule="auto"/>
        <w:jc w:val="both"/>
        <w:rPr>
          <w:rFonts w:eastAsia="Times New Roman" w:cstheme="minorHAnsi"/>
          <w:bCs/>
          <w:color w:val="000000"/>
          <w:lang w:eastAsia="en-NZ"/>
        </w:rPr>
      </w:pPr>
    </w:p>
    <w:p w14:paraId="2A37AACD" w14:textId="207A74CE" w:rsidR="00123D01" w:rsidRPr="00AB38B7" w:rsidRDefault="00DE6E7C" w:rsidP="00F43A4D">
      <w:pPr>
        <w:pStyle w:val="NoSpacing"/>
        <w:numPr>
          <w:ilvl w:val="0"/>
          <w:numId w:val="4"/>
        </w:numPr>
        <w:spacing w:line="276" w:lineRule="auto"/>
        <w:jc w:val="both"/>
        <w:rPr>
          <w:rFonts w:eastAsia="Times New Roman" w:cstheme="minorHAnsi"/>
          <w:b/>
          <w:color w:val="000000"/>
          <w:lang w:eastAsia="en-NZ"/>
        </w:rPr>
      </w:pPr>
      <w:r w:rsidRPr="008528B9">
        <w:t>Unfortunately,</w:t>
      </w:r>
      <w:r w:rsidRPr="008528B9">
        <w:rPr>
          <w:rFonts w:eastAsia="Times New Roman" w:cstheme="minorHAnsi"/>
          <w:color w:val="000000"/>
          <w:lang w:eastAsia="en-NZ"/>
        </w:rPr>
        <w:t xml:space="preserve"> in</w:t>
      </w:r>
      <w:r w:rsidR="00E5686F" w:rsidRPr="008528B9">
        <w:rPr>
          <w:rFonts w:eastAsia="Times New Roman" w:cstheme="minorHAnsi"/>
          <w:color w:val="000000"/>
          <w:lang w:eastAsia="en-NZ"/>
        </w:rPr>
        <w:t xml:space="preserve"> 2023 the Government continues to sustain </w:t>
      </w:r>
      <w:r w:rsidR="00E5686F" w:rsidRPr="008528B9">
        <w:rPr>
          <w:rFonts w:cstheme="minorHAnsi"/>
        </w:rPr>
        <w:t xml:space="preserve">a dual education system that segregates some disabled children in special schools, including based on parental </w:t>
      </w:r>
      <w:r w:rsidR="00421CFE" w:rsidRPr="008528B9">
        <w:rPr>
          <w:rFonts w:cstheme="minorHAnsi"/>
        </w:rPr>
        <w:t>choice</w:t>
      </w:r>
      <w:r w:rsidR="00421CFE" w:rsidRPr="008528B9">
        <w:rPr>
          <w:rFonts w:eastAsia="Times New Roman" w:cstheme="minorHAnsi"/>
          <w:b/>
          <w:color w:val="000000"/>
          <w:lang w:eastAsia="en-NZ"/>
        </w:rPr>
        <w:t>.</w:t>
      </w:r>
      <w:r w:rsidR="00421CFE" w:rsidRPr="008528B9">
        <w:rPr>
          <w:rFonts w:eastAsia="Times New Roman" w:cstheme="minorHAnsi"/>
          <w:color w:val="000000"/>
          <w:lang w:eastAsia="en-NZ"/>
        </w:rPr>
        <w:t xml:space="preserve"> While</w:t>
      </w:r>
      <w:r w:rsidR="00E5686F" w:rsidRPr="008528B9">
        <w:rPr>
          <w:rFonts w:eastAsia="Times New Roman" w:cstheme="minorHAnsi"/>
          <w:color w:val="000000"/>
          <w:lang w:eastAsia="en-NZ"/>
        </w:rPr>
        <w:t xml:space="preserve"> nationally only a small number of disabled children are currently segregated (relative to those enrolled in mainstream education settings) this varies widely across the country and numbers, especially in urban areas, are increasing</w:t>
      </w:r>
      <w:r w:rsidR="005777B2" w:rsidRPr="008528B9">
        <w:rPr>
          <w:rFonts w:eastAsia="Times New Roman" w:cstheme="minorHAnsi"/>
          <w:color w:val="000000"/>
          <w:lang w:eastAsia="en-NZ"/>
        </w:rPr>
        <w:t>. F</w:t>
      </w:r>
      <w:r w:rsidR="00A60B67" w:rsidRPr="008528B9">
        <w:rPr>
          <w:rFonts w:eastAsia="Times New Roman" w:cstheme="minorHAnsi"/>
          <w:color w:val="000000"/>
          <w:lang w:eastAsia="en-NZ"/>
        </w:rPr>
        <w:t xml:space="preserve">rom </w:t>
      </w:r>
      <w:r w:rsidR="00A60B67" w:rsidRPr="008528B9">
        <w:t>2871</w:t>
      </w:r>
      <w:r w:rsidR="00856BFD" w:rsidRPr="008528B9">
        <w:t xml:space="preserve"> in 2008 </w:t>
      </w:r>
      <w:r w:rsidR="00A60B67" w:rsidRPr="008528B9">
        <w:t>to 4195 in 2022</w:t>
      </w:r>
      <w:r w:rsidR="00A60B67" w:rsidRPr="008528B9">
        <w:rPr>
          <w:rStyle w:val="EndnoteReference"/>
          <w:rFonts w:eastAsia="Times New Roman" w:cstheme="minorHAnsi"/>
          <w:color w:val="000000"/>
          <w:lang w:eastAsia="en-NZ"/>
        </w:rPr>
        <w:endnoteReference w:id="21"/>
      </w:r>
      <w:r w:rsidR="00856BFD" w:rsidRPr="008528B9">
        <w:t xml:space="preserve"> </w:t>
      </w:r>
      <w:r w:rsidR="00E5686F" w:rsidRPr="008528B9">
        <w:rPr>
          <w:rFonts w:cstheme="minorHAnsi"/>
          <w:bCs/>
        </w:rPr>
        <w:t>Currently, over a third of students with the highest ongoing level of disability and learning support needs are now enrolled at specialist schools.</w:t>
      </w:r>
      <w:r w:rsidR="00856BFD" w:rsidRPr="008528B9">
        <w:rPr>
          <w:rStyle w:val="EndnoteReference"/>
          <w:rFonts w:cstheme="minorHAnsi"/>
          <w:bCs/>
        </w:rPr>
        <w:endnoteReference w:id="22"/>
      </w:r>
      <w:r w:rsidR="00E5686F" w:rsidRPr="008528B9">
        <w:rPr>
          <w:rFonts w:cstheme="minorHAnsi"/>
          <w:bCs/>
        </w:rPr>
        <w:t xml:space="preserve"> In some areas, such as within the Auckland region, over 80% are enrolled at a specialist school. </w:t>
      </w:r>
      <w:r w:rsidR="00123D01" w:rsidRPr="008528B9">
        <w:rPr>
          <w:rStyle w:val="EndnoteReference"/>
          <w:rFonts w:cstheme="minorHAnsi"/>
          <w:bCs/>
        </w:rPr>
        <w:endnoteReference w:id="23"/>
      </w:r>
      <w:r w:rsidR="00E5686F" w:rsidRPr="008528B9">
        <w:rPr>
          <w:rFonts w:cstheme="minorHAnsi"/>
        </w:rPr>
        <w:t xml:space="preserve">The announcement that 24 </w:t>
      </w:r>
      <w:r w:rsidR="00E5686F" w:rsidRPr="008528B9">
        <w:rPr>
          <w:rFonts w:cstheme="minorHAnsi"/>
          <w:bCs/>
        </w:rPr>
        <w:t>additional satellite units are planned across the Auckland and Tai Tokerau regions over the next decade</w:t>
      </w:r>
      <w:r w:rsidR="00123D01" w:rsidRPr="008528B9">
        <w:rPr>
          <w:rStyle w:val="EndnoteReference"/>
          <w:rFonts w:cstheme="minorHAnsi"/>
          <w:bCs/>
        </w:rPr>
        <w:endnoteReference w:id="24"/>
      </w:r>
      <w:r w:rsidR="00E5686F" w:rsidRPr="008528B9">
        <w:rPr>
          <w:rFonts w:cstheme="minorHAnsi"/>
          <w:bCs/>
        </w:rPr>
        <w:t>is most concerning and</w:t>
      </w:r>
      <w:r w:rsidR="008528B9" w:rsidRPr="008528B9">
        <w:rPr>
          <w:rFonts w:cstheme="minorHAnsi"/>
          <w:bCs/>
        </w:rPr>
        <w:t xml:space="preserve"> </w:t>
      </w:r>
      <w:r w:rsidR="00E5686F" w:rsidRPr="008528B9">
        <w:rPr>
          <w:rFonts w:cstheme="minorHAnsi"/>
          <w:bCs/>
        </w:rPr>
        <w:t>contrary to New Zealand’s obligations under the CRPD.</w:t>
      </w:r>
    </w:p>
    <w:p w14:paraId="67EB8F81" w14:textId="77777777" w:rsidR="00AB38B7" w:rsidRPr="003C6B16" w:rsidRDefault="00AB38B7" w:rsidP="00AB38B7">
      <w:pPr>
        <w:pStyle w:val="NoSpacing"/>
        <w:spacing w:line="276" w:lineRule="auto"/>
        <w:ind w:left="360"/>
        <w:jc w:val="both"/>
        <w:rPr>
          <w:rFonts w:eastAsia="Times New Roman" w:cstheme="minorHAnsi"/>
          <w:b/>
          <w:color w:val="000000"/>
          <w:lang w:eastAsia="en-NZ"/>
        </w:rPr>
      </w:pPr>
    </w:p>
    <w:p w14:paraId="5338264B" w14:textId="52ED3CFA" w:rsidR="003C6B16" w:rsidRPr="008528B9" w:rsidRDefault="003C6B16" w:rsidP="00F43A4D">
      <w:pPr>
        <w:pStyle w:val="NoSpacing"/>
        <w:numPr>
          <w:ilvl w:val="0"/>
          <w:numId w:val="4"/>
        </w:numPr>
        <w:spacing w:line="276" w:lineRule="auto"/>
        <w:jc w:val="both"/>
        <w:rPr>
          <w:rFonts w:eastAsia="Times New Roman" w:cstheme="minorHAnsi"/>
          <w:b/>
          <w:color w:val="000000"/>
          <w:lang w:eastAsia="en-NZ"/>
        </w:rPr>
      </w:pPr>
      <w:r>
        <w:t xml:space="preserve">New Zealand’s dual system of special and mainstream education perpetuates outdated beliefs and attitudes which are inconsistent with human rights </w:t>
      </w:r>
      <w:r w:rsidR="00AB38B7">
        <w:t xml:space="preserve">obligations and inclusive education </w:t>
      </w:r>
      <w:r>
        <w:t>principles</w:t>
      </w:r>
      <w:r w:rsidR="00AB38B7">
        <w:rPr>
          <w:rStyle w:val="EndnoteReference"/>
        </w:rPr>
        <w:endnoteReference w:id="25"/>
      </w:r>
      <w:r w:rsidR="00AB38B7">
        <w:t>.</w:t>
      </w:r>
      <w:r>
        <w:t xml:space="preserve"> </w:t>
      </w:r>
    </w:p>
    <w:p w14:paraId="02263CE6" w14:textId="77777777" w:rsidR="00123D01" w:rsidRPr="008528B9" w:rsidRDefault="00123D01" w:rsidP="00F43A4D">
      <w:pPr>
        <w:pStyle w:val="NoSpacing"/>
        <w:spacing w:line="276" w:lineRule="auto"/>
        <w:ind w:left="360"/>
        <w:jc w:val="both"/>
        <w:rPr>
          <w:rFonts w:eastAsia="Times New Roman" w:cstheme="minorHAnsi"/>
          <w:i/>
          <w:iCs/>
          <w:color w:val="000000"/>
          <w:lang w:eastAsia="en-NZ"/>
        </w:rPr>
      </w:pPr>
    </w:p>
    <w:p w14:paraId="795A0C01" w14:textId="5EA39DA0" w:rsidR="00E5686F" w:rsidRPr="008528B9" w:rsidRDefault="005777B2" w:rsidP="00F43A4D">
      <w:pPr>
        <w:pStyle w:val="NoSpacing"/>
        <w:numPr>
          <w:ilvl w:val="0"/>
          <w:numId w:val="4"/>
        </w:numPr>
        <w:spacing w:line="276" w:lineRule="auto"/>
        <w:jc w:val="both"/>
        <w:rPr>
          <w:rFonts w:eastAsia="Times New Roman" w:cstheme="minorHAnsi"/>
          <w:i/>
          <w:iCs/>
          <w:color w:val="000000"/>
          <w:lang w:eastAsia="en-NZ"/>
        </w:rPr>
      </w:pPr>
      <w:r w:rsidRPr="008528B9">
        <w:rPr>
          <w:rFonts w:eastAsia="Times New Roman" w:cstheme="minorHAnsi"/>
          <w:color w:val="000000"/>
          <w:lang w:eastAsia="en-NZ"/>
        </w:rPr>
        <w:t xml:space="preserve">The recent CRPD concluding observations </w:t>
      </w:r>
      <w:r w:rsidR="00F06F31" w:rsidRPr="008528B9">
        <w:rPr>
          <w:rFonts w:eastAsia="Times New Roman" w:cstheme="minorHAnsi"/>
          <w:color w:val="000000"/>
          <w:lang w:eastAsia="en-NZ"/>
        </w:rPr>
        <w:t xml:space="preserve">confirm </w:t>
      </w:r>
      <w:r w:rsidRPr="008528B9">
        <w:rPr>
          <w:rFonts w:eastAsia="Times New Roman" w:cstheme="minorHAnsi"/>
          <w:color w:val="000000"/>
          <w:lang w:eastAsia="en-NZ"/>
        </w:rPr>
        <w:t>maintaining a dual system is inconsistent with Article 24. The Committee expressed concerns over; “</w:t>
      </w:r>
      <w:r w:rsidRPr="008528B9">
        <w:rPr>
          <w:i/>
          <w:iCs/>
        </w:rPr>
        <w:t>The increased enrolment of students with disabilities in separate learning environments, such as specialist</w:t>
      </w:r>
      <w:r w:rsidRPr="008528B9">
        <w:t xml:space="preserve"> </w:t>
      </w:r>
      <w:r w:rsidRPr="008528B9">
        <w:rPr>
          <w:i/>
          <w:iCs/>
        </w:rPr>
        <w:t>schools, residential specialist schools and special education satellite units, despite legislative and policy commitments to inclusive education.”</w:t>
      </w:r>
      <w:r w:rsidR="00FE1597" w:rsidRPr="008528B9">
        <w:rPr>
          <w:rStyle w:val="EndnoteReference"/>
          <w:i/>
          <w:iCs/>
        </w:rPr>
        <w:endnoteReference w:id="26"/>
      </w:r>
      <w:r w:rsidR="00D1450E" w:rsidRPr="008528B9">
        <w:rPr>
          <w:i/>
          <w:iCs/>
        </w:rPr>
        <w:t xml:space="preserve"> </w:t>
      </w:r>
      <w:r w:rsidR="00D1450E" w:rsidRPr="008528B9">
        <w:t xml:space="preserve">The Committee </w:t>
      </w:r>
      <w:r w:rsidR="00F06F31" w:rsidRPr="008528B9">
        <w:t xml:space="preserve">was </w:t>
      </w:r>
      <w:r w:rsidR="00D1450E" w:rsidRPr="008528B9">
        <w:t>also concern</w:t>
      </w:r>
      <w:r w:rsidR="00F06F31" w:rsidRPr="008528B9">
        <w:t>ed</w:t>
      </w:r>
      <w:r w:rsidR="00D1450E" w:rsidRPr="008528B9">
        <w:t xml:space="preserve"> about</w:t>
      </w:r>
      <w:r w:rsidR="00D1450E" w:rsidRPr="008528B9">
        <w:rPr>
          <w:i/>
          <w:iCs/>
        </w:rPr>
        <w:t xml:space="preserve"> “</w:t>
      </w:r>
      <w:r w:rsidR="00D1450E" w:rsidRPr="008E706C">
        <w:rPr>
          <w:i/>
          <w:iCs/>
        </w:rPr>
        <w:t>The continued investment of public resources in residential specialist schools for children with disabilities</w:t>
      </w:r>
      <w:r w:rsidR="00D1450E" w:rsidRPr="008528B9">
        <w:t xml:space="preserve">.” </w:t>
      </w:r>
      <w:r w:rsidR="00D1450E" w:rsidRPr="008528B9">
        <w:rPr>
          <w:rStyle w:val="EndnoteReference"/>
        </w:rPr>
        <w:endnoteReference w:id="27"/>
      </w:r>
    </w:p>
    <w:p w14:paraId="0CC01582" w14:textId="6302887D" w:rsidR="00D840A0" w:rsidRPr="008528B9" w:rsidRDefault="00D840A0" w:rsidP="00F43A4D">
      <w:pPr>
        <w:spacing w:before="100" w:beforeAutospacing="1" w:after="100" w:afterAutospacing="1"/>
        <w:jc w:val="both"/>
        <w:rPr>
          <w:rFonts w:asciiTheme="minorHAnsi" w:eastAsia="Times New Roman" w:hAnsiTheme="minorHAnsi" w:cstheme="minorHAnsi"/>
          <w:bCs/>
          <w:i/>
          <w:iCs/>
          <w:color w:val="4F81BD" w:themeColor="accent1"/>
          <w:lang w:eastAsia="en-NZ" w:bidi="ar-SA"/>
        </w:rPr>
      </w:pPr>
      <w:r w:rsidRPr="008528B9">
        <w:rPr>
          <w:rFonts w:asciiTheme="minorHAnsi" w:eastAsia="Times New Roman" w:hAnsiTheme="minorHAnsi" w:cstheme="minorHAnsi"/>
          <w:bCs/>
          <w:i/>
          <w:iCs/>
          <w:color w:val="4F81BD" w:themeColor="accent1"/>
          <w:lang w:eastAsia="en-NZ" w:bidi="ar-SA"/>
        </w:rPr>
        <w:t>Denial of Reasonable Accommodation</w:t>
      </w:r>
    </w:p>
    <w:p w14:paraId="4005E522" w14:textId="633E9615" w:rsidR="00D840A0" w:rsidRPr="008528B9" w:rsidRDefault="00D840A0" w:rsidP="00F43A4D">
      <w:pPr>
        <w:pStyle w:val="NoSpacing"/>
        <w:numPr>
          <w:ilvl w:val="0"/>
          <w:numId w:val="4"/>
        </w:numPr>
        <w:spacing w:line="276" w:lineRule="auto"/>
        <w:jc w:val="both"/>
      </w:pPr>
      <w:r w:rsidRPr="008528B9">
        <w:rPr>
          <w:rFonts w:eastAsia="Times New Roman" w:cstheme="minorHAnsi"/>
          <w:color w:val="000000"/>
          <w:lang w:eastAsia="en-NZ"/>
        </w:rPr>
        <w:t>Alongside</w:t>
      </w:r>
      <w:r w:rsidRPr="008528B9">
        <w:rPr>
          <w:rFonts w:eastAsia="Times New Roman" w:cstheme="minorHAnsi"/>
          <w:color w:val="000000"/>
        </w:rPr>
        <w:t xml:space="preserve"> a growing investment in segregated education settings, disabled students who attend their local school experience significant difficulties in obtaining the individualised supports and reasonable accommodations they require to learn, belong, and participate in school life. T</w:t>
      </w:r>
      <w:r w:rsidRPr="008528B9">
        <w:rPr>
          <w:rFonts w:cstheme="minorHAnsi"/>
        </w:rPr>
        <w:t>hat disabled student experience discrimination, because of the lack of reasonable accommodation, in their access to and outcomes from education</w:t>
      </w:r>
      <w:r w:rsidR="001A0AF0">
        <w:rPr>
          <w:rFonts w:cstheme="minorHAnsi"/>
        </w:rPr>
        <w:t xml:space="preserve"> </w:t>
      </w:r>
      <w:r w:rsidRPr="008528B9">
        <w:rPr>
          <w:rFonts w:cstheme="minorHAnsi"/>
        </w:rPr>
        <w:t>is the subject of a legal claim lodged by the IHC</w:t>
      </w:r>
      <w:r w:rsidR="00087A6D" w:rsidRPr="008528B9">
        <w:rPr>
          <w:rStyle w:val="EndnoteReference"/>
          <w:rFonts w:cstheme="minorHAnsi"/>
        </w:rPr>
        <w:endnoteReference w:id="28"/>
      </w:r>
      <w:r w:rsidR="008E706C">
        <w:rPr>
          <w:rFonts w:cstheme="minorHAnsi"/>
        </w:rPr>
        <w:t xml:space="preserve"> </w:t>
      </w:r>
      <w:r w:rsidRPr="008528B9">
        <w:rPr>
          <w:rFonts w:cstheme="minorHAnsi"/>
        </w:rPr>
        <w:t>f</w:t>
      </w:r>
      <w:r w:rsidR="008E706C">
        <w:rPr>
          <w:rFonts w:cstheme="minorHAnsi"/>
        </w:rPr>
        <w:t>ifteen</w:t>
      </w:r>
      <w:r w:rsidRPr="008528B9">
        <w:rPr>
          <w:rFonts w:cstheme="minorHAnsi"/>
        </w:rPr>
        <w:t xml:space="preserve"> years ago. The legal claim is yet to be heard by the NZ Human Rights Review Tribunal.  New Zealand’s human rights legislation has been entirely ineffective in enabling the voice of disabled children to be heard and their experiences within the education system to be considered.</w:t>
      </w:r>
    </w:p>
    <w:p w14:paraId="5B2A9C6E" w14:textId="77777777" w:rsidR="00D840A0" w:rsidRPr="008528B9" w:rsidRDefault="00D840A0" w:rsidP="00F43A4D">
      <w:pPr>
        <w:pStyle w:val="ListParagraph"/>
        <w:spacing w:after="160"/>
        <w:ind w:left="360"/>
        <w:jc w:val="both"/>
        <w:rPr>
          <w:rFonts w:ascii="Arial" w:eastAsiaTheme="minorHAnsi" w:hAnsi="Arial"/>
        </w:rPr>
      </w:pPr>
    </w:p>
    <w:p w14:paraId="0A18AEF8" w14:textId="54E750A3" w:rsidR="00232F7E" w:rsidRPr="008528B9" w:rsidRDefault="000F6135" w:rsidP="00F43A4D">
      <w:pPr>
        <w:spacing w:after="0"/>
        <w:jc w:val="both"/>
        <w:rPr>
          <w:bCs/>
          <w:i/>
          <w:iCs/>
        </w:rPr>
      </w:pPr>
      <w:r w:rsidRPr="008528B9">
        <w:rPr>
          <w:rFonts w:asciiTheme="minorHAnsi" w:eastAsia="Times New Roman" w:hAnsiTheme="minorHAnsi" w:cstheme="minorHAnsi"/>
          <w:bCs/>
          <w:i/>
          <w:iCs/>
          <w:color w:val="4F81BD" w:themeColor="accent1"/>
          <w:lang w:eastAsia="en-NZ" w:bidi="ar-SA"/>
        </w:rPr>
        <w:t xml:space="preserve">The Government’s approach to Residential Special Schools is placing New Zealand in breach of its human rights </w:t>
      </w:r>
      <w:r w:rsidR="005B6BC2" w:rsidRPr="008528B9">
        <w:rPr>
          <w:rFonts w:asciiTheme="minorHAnsi" w:eastAsia="Times New Roman" w:hAnsiTheme="minorHAnsi" w:cstheme="minorHAnsi"/>
          <w:bCs/>
          <w:i/>
          <w:iCs/>
          <w:color w:val="4F81BD" w:themeColor="accent1"/>
          <w:lang w:eastAsia="en-NZ" w:bidi="ar-SA"/>
        </w:rPr>
        <w:t>commitments</w:t>
      </w:r>
      <w:r w:rsidR="00041CAA" w:rsidRPr="008528B9">
        <w:rPr>
          <w:rFonts w:asciiTheme="minorHAnsi" w:eastAsia="Times New Roman" w:hAnsiTheme="minorHAnsi" w:cstheme="minorHAnsi"/>
          <w:bCs/>
          <w:i/>
          <w:iCs/>
          <w:color w:val="4F81BD" w:themeColor="accent1"/>
          <w:lang w:eastAsia="en-NZ" w:bidi="ar-SA"/>
        </w:rPr>
        <w:t xml:space="preserve"> to disabled people</w:t>
      </w:r>
      <w:r w:rsidR="005B6BC2" w:rsidRPr="008528B9">
        <w:rPr>
          <w:rFonts w:asciiTheme="minorHAnsi" w:eastAsia="Times New Roman" w:hAnsiTheme="minorHAnsi" w:cstheme="minorHAnsi"/>
          <w:bCs/>
          <w:i/>
          <w:iCs/>
          <w:color w:val="4F81BD" w:themeColor="accent1"/>
          <w:lang w:eastAsia="en-NZ" w:bidi="ar-SA"/>
        </w:rPr>
        <w:t>.</w:t>
      </w:r>
    </w:p>
    <w:p w14:paraId="5A29C21E" w14:textId="77777777" w:rsidR="00232F7E" w:rsidRPr="008528B9" w:rsidRDefault="00232F7E" w:rsidP="00F43A4D">
      <w:pPr>
        <w:spacing w:after="0"/>
        <w:jc w:val="both"/>
        <w:rPr>
          <w:bCs/>
          <w:i/>
          <w:iCs/>
        </w:rPr>
      </w:pPr>
    </w:p>
    <w:p w14:paraId="514A327F" w14:textId="7CE24209" w:rsidR="00EA2AA7" w:rsidRPr="008528B9" w:rsidRDefault="005B6BC2" w:rsidP="00F43A4D">
      <w:pPr>
        <w:pStyle w:val="ListParagraph"/>
        <w:numPr>
          <w:ilvl w:val="0"/>
          <w:numId w:val="4"/>
        </w:numPr>
        <w:spacing w:after="0"/>
        <w:jc w:val="both"/>
      </w:pPr>
      <w:r w:rsidRPr="008528B9">
        <w:rPr>
          <w:rFonts w:asciiTheme="minorHAnsi" w:hAnsiTheme="minorHAnsi" w:cstheme="minorHAnsi"/>
          <w:lang w:val="mi-NZ"/>
        </w:rPr>
        <w:t xml:space="preserve">IEAG is concerned about the </w:t>
      </w:r>
      <w:r w:rsidR="00232F7E" w:rsidRPr="008528B9">
        <w:rPr>
          <w:rFonts w:asciiTheme="minorHAnsi" w:hAnsiTheme="minorHAnsi" w:cstheme="minorHAnsi"/>
          <w:lang w:val="mi-NZ"/>
        </w:rPr>
        <w:t>high investment of public resources in residential special schools</w:t>
      </w:r>
      <w:r w:rsidR="00041CAA" w:rsidRPr="008528B9">
        <w:rPr>
          <w:rFonts w:asciiTheme="minorHAnsi" w:hAnsiTheme="minorHAnsi" w:cstheme="minorHAnsi"/>
          <w:lang w:val="mi-NZ"/>
        </w:rPr>
        <w:t>,</w:t>
      </w:r>
      <w:r w:rsidR="00F06F31" w:rsidRPr="008528B9">
        <w:rPr>
          <w:rFonts w:asciiTheme="minorHAnsi" w:hAnsiTheme="minorHAnsi" w:cstheme="minorHAnsi"/>
          <w:lang w:val="mi-NZ"/>
        </w:rPr>
        <w:t xml:space="preserve"> </w:t>
      </w:r>
      <w:r w:rsidR="00232F7E" w:rsidRPr="008528B9">
        <w:rPr>
          <w:rFonts w:asciiTheme="minorHAnsi" w:hAnsiTheme="minorHAnsi" w:cstheme="minorHAnsi"/>
          <w:lang w:val="mi-NZ"/>
        </w:rPr>
        <w:t xml:space="preserve">the progressive loosening of entry criteria aimed at </w:t>
      </w:r>
      <w:r w:rsidR="00232F7E" w:rsidRPr="008528B9">
        <w:t>increasing access to a wider group of disabled students</w:t>
      </w:r>
      <w:r w:rsidR="007954EC" w:rsidRPr="008528B9">
        <w:t xml:space="preserve">. </w:t>
      </w:r>
      <w:r w:rsidR="007E36FF" w:rsidRPr="008528B9">
        <w:rPr>
          <w:rFonts w:cstheme="minorHAnsi"/>
        </w:rPr>
        <w:t xml:space="preserve">$9 million was allocated in 2022 to provide residential services across three schools for </w:t>
      </w:r>
      <w:r w:rsidR="00C674D9">
        <w:rPr>
          <w:rFonts w:cstheme="minorHAnsi"/>
        </w:rPr>
        <w:t>22</w:t>
      </w:r>
      <w:r w:rsidR="007E36FF" w:rsidRPr="008528B9">
        <w:rPr>
          <w:rFonts w:cstheme="minorHAnsi"/>
        </w:rPr>
        <w:t xml:space="preserve"> students.</w:t>
      </w:r>
      <w:r w:rsidR="007E36FF" w:rsidRPr="008528B9">
        <w:t xml:space="preserve"> </w:t>
      </w:r>
      <w:r w:rsidR="007954EC" w:rsidRPr="008528B9">
        <w:t xml:space="preserve">The Government announced $8 million </w:t>
      </w:r>
      <w:r w:rsidR="00E91EA5" w:rsidRPr="008528B9">
        <w:t xml:space="preserve">had been allocated </w:t>
      </w:r>
      <w:r w:rsidR="007954EC" w:rsidRPr="008528B9">
        <w:t xml:space="preserve">for the rebuild of </w:t>
      </w:r>
      <w:r w:rsidR="00E91EA5" w:rsidRPr="008528B9">
        <w:t>one of the three</w:t>
      </w:r>
      <w:r w:rsidR="00CE3357">
        <w:t xml:space="preserve"> schools</w:t>
      </w:r>
      <w:r w:rsidR="00E91EA5" w:rsidRPr="008528B9">
        <w:t xml:space="preserve"> </w:t>
      </w:r>
      <w:r w:rsidR="007954EC" w:rsidRPr="008528B9">
        <w:t>in 2019</w:t>
      </w:r>
      <w:r w:rsidR="007E36FF" w:rsidRPr="008528B9">
        <w:rPr>
          <w:rStyle w:val="EndnoteReference"/>
        </w:rPr>
        <w:endnoteReference w:id="29"/>
      </w:r>
      <w:r w:rsidR="007954EC" w:rsidRPr="008528B9">
        <w:t xml:space="preserve">. </w:t>
      </w:r>
      <w:r w:rsidR="002D6C90" w:rsidRPr="008528B9">
        <w:t>T</w:t>
      </w:r>
      <w:r w:rsidR="00E91EA5" w:rsidRPr="008528B9">
        <w:t xml:space="preserve">he </w:t>
      </w:r>
      <w:r w:rsidR="00D72A13">
        <w:t xml:space="preserve">rebuild </w:t>
      </w:r>
      <w:r w:rsidR="00E91EA5" w:rsidRPr="008528B9">
        <w:t>project is in the design phase.</w:t>
      </w:r>
      <w:r w:rsidR="00041CAA" w:rsidRPr="008528B9">
        <w:t xml:space="preserve"> </w:t>
      </w:r>
      <w:r w:rsidR="001D5A7E" w:rsidRPr="008528B9">
        <w:rPr>
          <w:rFonts w:eastAsia="Times New Roman" w:cstheme="minorHAnsi"/>
          <w:color w:val="000000"/>
          <w:lang w:eastAsia="en-NZ"/>
        </w:rPr>
        <w:t>These are retrogressive steps inconsistent with New Zealand’s obligation under Art 4(2) of the CRPD to progressively realise Art 24 of that Convention.</w:t>
      </w:r>
      <w:r w:rsidR="0057592C" w:rsidRPr="008528B9">
        <w:rPr>
          <w:rFonts w:eastAsia="Times New Roman" w:cstheme="minorHAnsi"/>
          <w:color w:val="000000"/>
          <w:lang w:eastAsia="en-NZ"/>
        </w:rPr>
        <w:t xml:space="preserve"> </w:t>
      </w:r>
    </w:p>
    <w:p w14:paraId="18F0CC27" w14:textId="77777777" w:rsidR="00EA2AA7" w:rsidRPr="008528B9" w:rsidRDefault="00EA2AA7" w:rsidP="00F43A4D">
      <w:pPr>
        <w:pStyle w:val="ListParagraph"/>
        <w:spacing w:after="0"/>
        <w:ind w:left="360"/>
        <w:jc w:val="both"/>
      </w:pPr>
    </w:p>
    <w:p w14:paraId="00A8BFF0" w14:textId="1CE0CD56" w:rsidR="00C56993" w:rsidRPr="008528B9" w:rsidRDefault="001A0AF0" w:rsidP="00F43A4D">
      <w:pPr>
        <w:pStyle w:val="ListParagraph"/>
        <w:numPr>
          <w:ilvl w:val="0"/>
          <w:numId w:val="4"/>
        </w:numPr>
        <w:spacing w:after="0"/>
        <w:jc w:val="both"/>
      </w:pPr>
      <w:r>
        <w:rPr>
          <w:rFonts w:asciiTheme="minorHAnsi" w:hAnsiTheme="minorHAnsi" w:cstheme="minorHAnsi"/>
          <w:lang w:val="mi-NZ" w:eastAsia="en-NZ"/>
        </w:rPr>
        <w:lastRenderedPageBreak/>
        <w:t xml:space="preserve">We have </w:t>
      </w:r>
      <w:r w:rsidR="00EA2AA7" w:rsidRPr="008528B9">
        <w:rPr>
          <w:rFonts w:asciiTheme="minorHAnsi" w:hAnsiTheme="minorHAnsi" w:cstheme="minorHAnsi"/>
          <w:lang w:val="mi-NZ" w:eastAsia="en-NZ"/>
        </w:rPr>
        <w:t xml:space="preserve">serious concerns about maintaining </w:t>
      </w:r>
      <w:r w:rsidR="00EA2AA7" w:rsidRPr="008528B9">
        <w:t xml:space="preserve">residential institutions which give rise to risk of abuse, including the disproportionate use of physical restraint, alongside the long-term impacts of social, familial, and cultural disconnection people experience when separated from their families, peers, communities, and cultures.  </w:t>
      </w:r>
      <w:r w:rsidR="00633401" w:rsidRPr="008528B9">
        <w:rPr>
          <w:rStyle w:val="EndnoteReference"/>
        </w:rPr>
        <w:endnoteReference w:id="30"/>
      </w:r>
      <w:r w:rsidR="00D1450E" w:rsidRPr="008528B9">
        <w:t xml:space="preserve"> </w:t>
      </w:r>
      <w:r w:rsidR="00EA33B1" w:rsidRPr="008528B9">
        <w:t xml:space="preserve"> </w:t>
      </w:r>
    </w:p>
    <w:p w14:paraId="64D7FC21" w14:textId="77777777" w:rsidR="00C56993" w:rsidRPr="008528B9" w:rsidRDefault="00C56993" w:rsidP="00F43A4D">
      <w:pPr>
        <w:pStyle w:val="ListParagraph"/>
        <w:jc w:val="both"/>
      </w:pPr>
    </w:p>
    <w:p w14:paraId="50919A5B" w14:textId="77777777" w:rsidR="00D72A13" w:rsidRDefault="00EA33B1" w:rsidP="00F43A4D">
      <w:pPr>
        <w:pStyle w:val="ListParagraph"/>
        <w:numPr>
          <w:ilvl w:val="0"/>
          <w:numId w:val="4"/>
        </w:numPr>
        <w:spacing w:after="0"/>
        <w:jc w:val="both"/>
      </w:pPr>
      <w:r w:rsidRPr="008528B9">
        <w:t>In 202</w:t>
      </w:r>
      <w:r w:rsidR="00551742">
        <w:t>2</w:t>
      </w:r>
      <w:r w:rsidRPr="008528B9">
        <w:t xml:space="preserve"> IHC reported </w:t>
      </w:r>
      <w:r w:rsidR="00E20D78" w:rsidRPr="008528B9">
        <w:t xml:space="preserve">Ministry of Education </w:t>
      </w:r>
      <w:r w:rsidR="00F06F31" w:rsidRPr="008528B9">
        <w:t xml:space="preserve">figures </w:t>
      </w:r>
      <w:r w:rsidRPr="008528B9">
        <w:t>showed, on average, students attending New Zealand’s</w:t>
      </w:r>
      <w:r w:rsidR="00E20D78" w:rsidRPr="008528B9">
        <w:t xml:space="preserve"> </w:t>
      </w:r>
      <w:r w:rsidRPr="008528B9">
        <w:t>residential specialist schools in the past five years were more than 5,000 times more likely to be restrained by teachers and support staff compared to a mainstream school.</w:t>
      </w:r>
      <w:r w:rsidRPr="008528B9">
        <w:rPr>
          <w:rStyle w:val="EndnoteReference"/>
        </w:rPr>
        <w:endnoteReference w:id="31"/>
      </w:r>
      <w:r w:rsidRPr="008528B9">
        <w:t xml:space="preserve"> </w:t>
      </w:r>
    </w:p>
    <w:p w14:paraId="7CDB7C75" w14:textId="77777777" w:rsidR="00D72A13" w:rsidRDefault="00D72A13" w:rsidP="00D72A13">
      <w:pPr>
        <w:pStyle w:val="ListParagraph"/>
      </w:pPr>
    </w:p>
    <w:p w14:paraId="114FA327" w14:textId="5D14A3E0" w:rsidR="00633401" w:rsidRPr="008528B9" w:rsidRDefault="00627BF8" w:rsidP="00F43A4D">
      <w:pPr>
        <w:pStyle w:val="ListParagraph"/>
        <w:numPr>
          <w:ilvl w:val="0"/>
          <w:numId w:val="4"/>
        </w:numPr>
        <w:spacing w:after="0"/>
        <w:jc w:val="both"/>
      </w:pPr>
      <w:r w:rsidRPr="008528B9">
        <w:t xml:space="preserve">Between 1 August 2017 and 15 February 2022 two of the </w:t>
      </w:r>
      <w:r w:rsidR="00CE3357">
        <w:t xml:space="preserve">residential specialist schools </w:t>
      </w:r>
      <w:r w:rsidRPr="008528B9">
        <w:t xml:space="preserve">were the highest users of physical restraint by schools in New Zealand. By way of example, 15 students were enrolled at one of the schools </w:t>
      </w:r>
      <w:r w:rsidR="00D72A13">
        <w:t xml:space="preserve">in 2018 and 2019. The school </w:t>
      </w:r>
      <w:r w:rsidRPr="008528B9">
        <w:t>reported 395 incidents in 2018 and 324 in 2019. At the other</w:t>
      </w:r>
      <w:r w:rsidR="00D72A13">
        <w:t xml:space="preserve"> school</w:t>
      </w:r>
      <w:r w:rsidRPr="008528B9">
        <w:t xml:space="preserve">, </w:t>
      </w:r>
      <w:r w:rsidR="00D22FBD" w:rsidRPr="008528B9">
        <w:t>12 students were enrolled in 2018 and 13 in 2019. The school reported 108 incidents in 2018 and 244 in 2019. There were 113 restraints of nine-year-olds, 318 of ten-year-olds and 238 of eleven-year-olds between 1 August 2017 and 27 May 2022. Six children were restrained over 41 times during their stay at RSS.</w:t>
      </w:r>
      <w:r w:rsidR="00CD1925" w:rsidRPr="008528B9">
        <w:t xml:space="preserve"> Data from term one 2023 shows that the issue of restraint remains an issue with repeated incidents of physical restraint of children aged 10 and 11 years ‘old occurring on multiple occasions. As </w:t>
      </w:r>
      <w:r w:rsidR="00E76A19" w:rsidRPr="008528B9">
        <w:t>of</w:t>
      </w:r>
      <w:r w:rsidR="00CD1925" w:rsidRPr="008528B9">
        <w:t xml:space="preserve"> </w:t>
      </w:r>
      <w:r w:rsidR="00E76A19" w:rsidRPr="008528B9">
        <w:t>24 April 2023,</w:t>
      </w:r>
      <w:r w:rsidR="00CD1925" w:rsidRPr="008528B9">
        <w:t xml:space="preserve"> </w:t>
      </w:r>
      <w:r w:rsidR="00C56993" w:rsidRPr="008528B9">
        <w:t>there were 27 reported incidents of physical restraint, 13 of one or more children aged 10 years old. The school employs 8 teaching staff and 59 non-teaching staff for 17 students and received $10million in Government grants in the year ended 31 December 2022.</w:t>
      </w:r>
      <w:r w:rsidR="00BE62E7" w:rsidRPr="008528B9">
        <w:rPr>
          <w:rStyle w:val="EndnoteReference"/>
        </w:rPr>
        <w:endnoteReference w:id="32"/>
      </w:r>
    </w:p>
    <w:p w14:paraId="61F14FCB" w14:textId="77777777" w:rsidR="00ED4925" w:rsidRPr="008528B9" w:rsidRDefault="00ED4925" w:rsidP="00F43A4D">
      <w:pPr>
        <w:pStyle w:val="ListParagraph"/>
        <w:spacing w:after="0"/>
        <w:ind w:left="360"/>
        <w:jc w:val="both"/>
      </w:pPr>
    </w:p>
    <w:p w14:paraId="3192E36A" w14:textId="14783635" w:rsidR="00633401" w:rsidRPr="008528B9" w:rsidRDefault="00AE4B34" w:rsidP="00F43A4D">
      <w:pPr>
        <w:jc w:val="both"/>
        <w:rPr>
          <w:rFonts w:asciiTheme="minorHAnsi" w:eastAsia="Times New Roman" w:hAnsiTheme="minorHAnsi" w:cstheme="minorHAnsi"/>
          <w:bCs/>
          <w:i/>
          <w:iCs/>
          <w:color w:val="4F81BD" w:themeColor="accent1"/>
          <w:lang w:eastAsia="en-NZ" w:bidi="ar-SA"/>
        </w:rPr>
      </w:pPr>
      <w:r w:rsidRPr="008528B9">
        <w:rPr>
          <w:rFonts w:asciiTheme="minorHAnsi" w:eastAsia="Times New Roman" w:hAnsiTheme="minorHAnsi" w:cstheme="minorHAnsi"/>
          <w:bCs/>
          <w:i/>
          <w:iCs/>
          <w:color w:val="4F81BD" w:themeColor="accent1"/>
          <w:lang w:eastAsia="en-NZ" w:bidi="ar-SA"/>
        </w:rPr>
        <w:t>UN Convention of the Rights of persons with disabilities Committee’s Concluding observations on the combined second and third periodic reports of New Zealand</w:t>
      </w:r>
    </w:p>
    <w:p w14:paraId="2D7BE23B" w14:textId="4E2D4DEF" w:rsidR="00522B89" w:rsidRPr="008528B9" w:rsidRDefault="00B9612E" w:rsidP="00F43A4D">
      <w:pPr>
        <w:pStyle w:val="NoSpacing"/>
        <w:numPr>
          <w:ilvl w:val="0"/>
          <w:numId w:val="4"/>
        </w:numPr>
        <w:spacing w:line="276" w:lineRule="auto"/>
        <w:jc w:val="both"/>
      </w:pPr>
      <w:r w:rsidRPr="008528B9">
        <w:t>Making inclusive education a reality for all children was an area identified in the</w:t>
      </w:r>
      <w:r w:rsidR="00397D40">
        <w:t xml:space="preserve"> </w:t>
      </w:r>
      <w:r w:rsidRPr="008528B9">
        <w:t xml:space="preserve">Committee’s </w:t>
      </w:r>
      <w:r w:rsidR="00CE3357">
        <w:t xml:space="preserve">September 2022 </w:t>
      </w:r>
      <w:r w:rsidRPr="008528B9">
        <w:t>concluding remarks as needing urgent attention</w:t>
      </w:r>
      <w:r w:rsidR="00D72A13">
        <w:t>.</w:t>
      </w:r>
      <w:r w:rsidRPr="008528B9">
        <w:rPr>
          <w:rStyle w:val="EndnoteReference"/>
        </w:rPr>
        <w:endnoteReference w:id="33"/>
      </w:r>
      <w:r w:rsidRPr="008528B9">
        <w:t xml:space="preserve"> The</w:t>
      </w:r>
      <w:r w:rsidR="00397D40">
        <w:t>se</w:t>
      </w:r>
      <w:r w:rsidRPr="008528B9">
        <w:t xml:space="preserve"> Observations contain targeted recommendations on changes needed to give effect to Article 24. The recommendations leave no doubt</w:t>
      </w:r>
      <w:r w:rsidR="00397D40">
        <w:t>,</w:t>
      </w:r>
      <w:r w:rsidRPr="008528B9">
        <w:t xml:space="preserve"> in our view</w:t>
      </w:r>
      <w:r w:rsidR="00397D40">
        <w:t>,</w:t>
      </w:r>
      <w:r w:rsidRPr="008528B9">
        <w:t xml:space="preserve"> that continuing to invest in and expand segregated residential special </w:t>
      </w:r>
      <w:r w:rsidR="00E76A19" w:rsidRPr="008528B9">
        <w:t>schools is</w:t>
      </w:r>
      <w:r w:rsidRPr="008528B9">
        <w:t xml:space="preserve"> a breach of Article 24, as is other forms of residential institutional care. </w:t>
      </w:r>
    </w:p>
    <w:p w14:paraId="710FF41F" w14:textId="77777777" w:rsidR="00522B89" w:rsidRPr="008528B9" w:rsidRDefault="00522B89" w:rsidP="00F43A4D">
      <w:pPr>
        <w:pStyle w:val="NoSpacing"/>
        <w:spacing w:line="276" w:lineRule="auto"/>
        <w:ind w:left="360"/>
        <w:jc w:val="both"/>
      </w:pPr>
    </w:p>
    <w:p w14:paraId="772D829B" w14:textId="19346676" w:rsidR="00522B89" w:rsidRPr="008528B9" w:rsidRDefault="00AE4B34" w:rsidP="00F43A4D">
      <w:pPr>
        <w:pStyle w:val="NoSpacing"/>
        <w:numPr>
          <w:ilvl w:val="0"/>
          <w:numId w:val="4"/>
        </w:numPr>
        <w:spacing w:line="276" w:lineRule="auto"/>
        <w:jc w:val="both"/>
      </w:pPr>
      <w:r w:rsidRPr="008528B9">
        <w:t>The Government’s plan</w:t>
      </w:r>
      <w:r w:rsidR="00E217C0" w:rsidRPr="008528B9">
        <w:rPr>
          <w:rStyle w:val="EndnoteReference"/>
        </w:rPr>
        <w:endnoteReference w:id="34"/>
      </w:r>
      <w:r w:rsidRPr="008528B9">
        <w:t xml:space="preserve"> for responding to the Committee’s recommendations was released </w:t>
      </w:r>
      <w:r w:rsidR="00CE3357">
        <w:t>on 25</w:t>
      </w:r>
      <w:r w:rsidRPr="008528B9">
        <w:t xml:space="preserve"> August 2023.</w:t>
      </w:r>
      <w:r w:rsidR="00E217C0" w:rsidRPr="008528B9">
        <w:t xml:space="preserve"> </w:t>
      </w:r>
      <w:r w:rsidR="009F311C" w:rsidRPr="008528B9">
        <w:t xml:space="preserve">Concerningly, recommendations </w:t>
      </w:r>
      <w:r w:rsidR="00551742">
        <w:t xml:space="preserve">regarding </w:t>
      </w:r>
      <w:r w:rsidR="009F311C" w:rsidRPr="008528B9">
        <w:t>residential special schools</w:t>
      </w:r>
      <w:r w:rsidR="00C40723" w:rsidRPr="008528B9">
        <w:t xml:space="preserve">, including </w:t>
      </w:r>
      <w:r w:rsidR="00522B89" w:rsidRPr="008528B9">
        <w:t>to “</w:t>
      </w:r>
      <w:r w:rsidR="00522B89" w:rsidRPr="008528B9">
        <w:rPr>
          <w:i/>
          <w:iCs/>
        </w:rPr>
        <w:t>withdraw the proposal to change entry requirements for enrolment in residential specialist schools and redirect funding and resources into an inclusive education system</w:t>
      </w:r>
      <w:r w:rsidR="00522B89" w:rsidRPr="008528B9">
        <w:t>”,</w:t>
      </w:r>
    </w:p>
    <w:p w14:paraId="52CB6575" w14:textId="37E7B7C4" w:rsidR="00ED4925" w:rsidRPr="008528B9" w:rsidRDefault="009F311C" w:rsidP="00F43A4D">
      <w:pPr>
        <w:pStyle w:val="NoSpacing"/>
        <w:spacing w:line="276" w:lineRule="auto"/>
        <w:ind w:left="360"/>
        <w:jc w:val="both"/>
      </w:pPr>
      <w:r w:rsidRPr="008528B9">
        <w:t xml:space="preserve">were </w:t>
      </w:r>
      <w:r w:rsidR="00E76A19" w:rsidRPr="008528B9">
        <w:t>noted</w:t>
      </w:r>
      <w:r w:rsidR="00D72A13">
        <w:t>,</w:t>
      </w:r>
      <w:r w:rsidR="00E76A19" w:rsidRPr="008528B9">
        <w:t xml:space="preserve"> not</w:t>
      </w:r>
      <w:r w:rsidR="00D72A13">
        <w:t xml:space="preserve"> </w:t>
      </w:r>
      <w:r w:rsidR="00504749" w:rsidRPr="008528B9">
        <w:t xml:space="preserve">accepted. </w:t>
      </w:r>
      <w:r w:rsidRPr="008528B9">
        <w:t xml:space="preserve"> </w:t>
      </w:r>
      <w:r w:rsidR="00C40723" w:rsidRPr="008528B9">
        <w:t>T</w:t>
      </w:r>
      <w:r w:rsidR="00E217C0" w:rsidRPr="008528B9">
        <w:t>h</w:t>
      </w:r>
      <w:r w:rsidR="00504749" w:rsidRPr="008528B9">
        <w:t xml:space="preserve">e </w:t>
      </w:r>
      <w:r w:rsidR="00ED4925" w:rsidRPr="008528B9">
        <w:t>response</w:t>
      </w:r>
      <w:r w:rsidR="00FB06B2">
        <w:t xml:space="preserve"> </w:t>
      </w:r>
      <w:r w:rsidR="00E217C0" w:rsidRPr="008528B9">
        <w:t xml:space="preserve">acknowledged that aspects of the </w:t>
      </w:r>
      <w:r w:rsidR="00D72A13">
        <w:t>G</w:t>
      </w:r>
      <w:r w:rsidR="00E217C0" w:rsidRPr="008528B9">
        <w:t xml:space="preserve">overnment response are likely to be strongly contested by disability rights advocates and will continue to receive adverse comment from the IMM. </w:t>
      </w:r>
      <w:r w:rsidR="00E217C0" w:rsidRPr="00EF60B0">
        <w:t>Paragraph 41.2</w:t>
      </w:r>
      <w:r w:rsidR="00E217C0" w:rsidRPr="008528B9">
        <w:t xml:space="preserve"> notes: </w:t>
      </w:r>
    </w:p>
    <w:p w14:paraId="489E4820" w14:textId="77777777" w:rsidR="00C40723" w:rsidRPr="008528B9" w:rsidRDefault="00C40723" w:rsidP="00F43A4D">
      <w:pPr>
        <w:pStyle w:val="NoSpacing"/>
        <w:spacing w:line="276" w:lineRule="auto"/>
        <w:jc w:val="both"/>
      </w:pPr>
    </w:p>
    <w:p w14:paraId="68D9B261" w14:textId="25C35CCA" w:rsidR="00E217C0" w:rsidRPr="008528B9" w:rsidRDefault="00E217C0" w:rsidP="00F43A4D">
      <w:pPr>
        <w:ind w:left="360"/>
        <w:jc w:val="both"/>
      </w:pPr>
      <w:r w:rsidRPr="008528B9">
        <w:rPr>
          <w:i/>
          <w:iCs/>
        </w:rPr>
        <w:t xml:space="preserve">“The UN Committee has provided recent guidelines on deinstitutionalisation. They clearly indicate that schooling settings like residential specialist schools are seen as institutional given that they are only available to children based on impairing factors like behaviour. The Guidelines also indicate that institutional settings cannot be seen as an authentic choice for students and their families. The Ministry of Education has noted recommendations related to Residential Specialist Schools subject to further </w:t>
      </w:r>
      <w:r w:rsidRPr="008528B9">
        <w:t xml:space="preserve">consideration of New Zealand based research and evidence and decisions by the Minister of Education. </w:t>
      </w:r>
      <w:r w:rsidRPr="008528B9">
        <w:rPr>
          <w:b/>
          <w:bCs/>
          <w:i/>
          <w:iCs/>
        </w:rPr>
        <w:t>Unlike other noting recommendations, there is a possibility that these could be changed after the Minister’s consideration.</w:t>
      </w:r>
      <w:r w:rsidRPr="008528B9">
        <w:t xml:space="preserve">” </w:t>
      </w:r>
      <w:r w:rsidRPr="008528B9">
        <w:rPr>
          <w:b/>
          <w:bCs/>
        </w:rPr>
        <w:t>(Emphasis added)</w:t>
      </w:r>
    </w:p>
    <w:p w14:paraId="3E3EA51D" w14:textId="50376BB2" w:rsidR="00633401" w:rsidRPr="008528B9" w:rsidRDefault="00E217C0" w:rsidP="00F43A4D">
      <w:pPr>
        <w:pStyle w:val="NoSpacing"/>
        <w:spacing w:line="276" w:lineRule="auto"/>
        <w:jc w:val="both"/>
        <w:rPr>
          <w:b/>
          <w:bCs/>
        </w:rPr>
      </w:pPr>
      <w:r w:rsidRPr="008528B9">
        <w:lastRenderedPageBreak/>
        <w:t xml:space="preserve"> </w:t>
      </w:r>
      <w:r w:rsidR="00C40723" w:rsidRPr="008528B9">
        <w:rPr>
          <w:b/>
          <w:bCs/>
        </w:rPr>
        <w:t xml:space="preserve">Recommendations </w:t>
      </w:r>
    </w:p>
    <w:p w14:paraId="4794BF79" w14:textId="0398CE8C" w:rsidR="00A34E90" w:rsidRPr="0077511F" w:rsidRDefault="00741489" w:rsidP="0077511F">
      <w:pPr>
        <w:pStyle w:val="NoSpacing"/>
        <w:spacing w:line="276" w:lineRule="auto"/>
        <w:jc w:val="both"/>
        <w:rPr>
          <w:b/>
          <w:bCs/>
        </w:rPr>
      </w:pPr>
      <w:r w:rsidRPr="00350463">
        <w:rPr>
          <w:b/>
          <w:bCs/>
        </w:rPr>
        <w:t xml:space="preserve">We </w:t>
      </w:r>
      <w:r w:rsidR="007E263F" w:rsidRPr="00350463">
        <w:rPr>
          <w:b/>
          <w:bCs/>
        </w:rPr>
        <w:t xml:space="preserve">respectfully </w:t>
      </w:r>
      <w:r w:rsidRPr="00350463">
        <w:rPr>
          <w:b/>
          <w:bCs/>
        </w:rPr>
        <w:t>re</w:t>
      </w:r>
      <w:r w:rsidR="00390BEF">
        <w:rPr>
          <w:b/>
          <w:bCs/>
        </w:rPr>
        <w:t>quest</w:t>
      </w:r>
      <w:r w:rsidR="0009653B" w:rsidRPr="00350463">
        <w:rPr>
          <w:b/>
          <w:bCs/>
        </w:rPr>
        <w:t xml:space="preserve"> </w:t>
      </w:r>
      <w:r w:rsidR="00E77BE3">
        <w:rPr>
          <w:b/>
          <w:bCs/>
        </w:rPr>
        <w:t xml:space="preserve">that the New Zealand Government gives </w:t>
      </w:r>
      <w:r w:rsidR="00390BEF">
        <w:rPr>
          <w:b/>
          <w:bCs/>
        </w:rPr>
        <w:t xml:space="preserve">further consideration to </w:t>
      </w:r>
      <w:r w:rsidR="00E77BE3">
        <w:rPr>
          <w:b/>
          <w:bCs/>
        </w:rPr>
        <w:t xml:space="preserve">implementing </w:t>
      </w:r>
      <w:r w:rsidR="00E90480" w:rsidRPr="00350463">
        <w:rPr>
          <w:rFonts w:asciiTheme="minorHAnsi" w:eastAsiaTheme="minorHAnsi" w:hAnsiTheme="minorHAnsi" w:cstheme="minorHAnsi"/>
          <w:b/>
          <w:bCs/>
        </w:rPr>
        <w:t xml:space="preserve">the </w:t>
      </w:r>
      <w:r w:rsidR="00504772" w:rsidRPr="00350463">
        <w:rPr>
          <w:rFonts w:asciiTheme="minorHAnsi" w:eastAsiaTheme="minorHAnsi" w:hAnsiTheme="minorHAnsi" w:cstheme="minorHAnsi"/>
          <w:b/>
          <w:bCs/>
        </w:rPr>
        <w:t xml:space="preserve">CRPD </w:t>
      </w:r>
      <w:r w:rsidR="00E76A19" w:rsidRPr="00350463">
        <w:rPr>
          <w:rFonts w:asciiTheme="minorHAnsi" w:eastAsiaTheme="minorHAnsi" w:hAnsiTheme="minorHAnsi" w:cstheme="minorHAnsi"/>
          <w:b/>
          <w:bCs/>
        </w:rPr>
        <w:t>Committee’s recommendations</w:t>
      </w:r>
      <w:r w:rsidR="00E90480" w:rsidRPr="00350463">
        <w:rPr>
          <w:rFonts w:asciiTheme="minorHAnsi" w:eastAsiaTheme="minorHAnsi" w:hAnsiTheme="minorHAnsi" w:cstheme="minorHAnsi"/>
          <w:b/>
          <w:bCs/>
        </w:rPr>
        <w:t xml:space="preserve">, including recommendations 8 (a), </w:t>
      </w:r>
      <w:r w:rsidR="00181DF5" w:rsidRPr="00350463">
        <w:rPr>
          <w:rFonts w:asciiTheme="minorHAnsi" w:eastAsiaTheme="minorHAnsi" w:hAnsiTheme="minorHAnsi" w:cstheme="minorHAnsi"/>
          <w:b/>
          <w:bCs/>
        </w:rPr>
        <w:t>40</w:t>
      </w:r>
      <w:r w:rsidR="00E90480" w:rsidRPr="00350463">
        <w:rPr>
          <w:rFonts w:asciiTheme="minorHAnsi" w:eastAsiaTheme="minorHAnsi" w:hAnsiTheme="minorHAnsi" w:cstheme="minorHAnsi"/>
          <w:b/>
          <w:bCs/>
        </w:rPr>
        <w:t xml:space="preserve"> (b)</w:t>
      </w:r>
      <w:r w:rsidR="00181DF5" w:rsidRPr="00350463">
        <w:rPr>
          <w:rFonts w:asciiTheme="minorHAnsi" w:eastAsiaTheme="minorHAnsi" w:hAnsiTheme="minorHAnsi" w:cstheme="minorHAnsi"/>
          <w:b/>
          <w:bCs/>
        </w:rPr>
        <w:t xml:space="preserve"> (d)</w:t>
      </w:r>
      <w:r w:rsidR="00E90480" w:rsidRPr="00350463">
        <w:rPr>
          <w:rFonts w:asciiTheme="minorHAnsi" w:eastAsiaTheme="minorHAnsi" w:hAnsiTheme="minorHAnsi" w:cstheme="minorHAnsi"/>
          <w:b/>
          <w:bCs/>
        </w:rPr>
        <w:t xml:space="preserve"> and 48 (a) to (c).</w:t>
      </w:r>
    </w:p>
    <w:sectPr w:rsidR="00A34E90" w:rsidRPr="0077511F" w:rsidSect="00CC580E">
      <w:headerReference w:type="default" r:id="rId9"/>
      <w:footerReference w:type="default" r:id="rId10"/>
      <w:headerReference w:type="first" r:id="rId11"/>
      <w:footerReference w:type="first" r:id="rId12"/>
      <w:pgSz w:w="11906" w:h="16838"/>
      <w:pgMar w:top="851"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F2CA" w14:textId="77777777" w:rsidR="00337653" w:rsidRDefault="00337653" w:rsidP="00506209">
      <w:pPr>
        <w:spacing w:after="0" w:line="240" w:lineRule="auto"/>
      </w:pPr>
      <w:r>
        <w:separator/>
      </w:r>
    </w:p>
  </w:endnote>
  <w:endnote w:type="continuationSeparator" w:id="0">
    <w:p w14:paraId="52AFCD22" w14:textId="77777777" w:rsidR="00337653" w:rsidRDefault="00337653" w:rsidP="00506209">
      <w:pPr>
        <w:spacing w:after="0" w:line="240" w:lineRule="auto"/>
      </w:pPr>
      <w:r>
        <w:continuationSeparator/>
      </w:r>
    </w:p>
  </w:endnote>
  <w:endnote w:id="1">
    <w:p w14:paraId="01F62594" w14:textId="27FF608B" w:rsidR="008460E0" w:rsidRPr="00E77BE3" w:rsidRDefault="003B37F6">
      <w:pPr>
        <w:pStyle w:val="EndnoteText"/>
        <w:rPr>
          <w:sz w:val="16"/>
          <w:szCs w:val="16"/>
        </w:rPr>
      </w:pPr>
      <w:r>
        <w:rPr>
          <w:rStyle w:val="EndnoteReference"/>
        </w:rPr>
        <w:endnoteRef/>
      </w:r>
      <w:r>
        <w:t xml:space="preserve"> </w:t>
      </w:r>
      <w:r w:rsidR="008460E0">
        <w:t xml:space="preserve"> </w:t>
      </w:r>
      <w:r w:rsidR="008F6573" w:rsidRPr="005265D7">
        <w:rPr>
          <w:rFonts w:cstheme="minorHAnsi"/>
          <w:sz w:val="16"/>
          <w:szCs w:val="16"/>
        </w:rPr>
        <w:t>Committee on the Rights of Persons with Disabilities</w:t>
      </w:r>
      <w:r w:rsidR="008F6573" w:rsidRPr="008F6573">
        <w:rPr>
          <w:rFonts w:cstheme="minorHAnsi"/>
          <w:sz w:val="16"/>
          <w:szCs w:val="16"/>
        </w:rPr>
        <w:t xml:space="preserve"> </w:t>
      </w:r>
      <w:r w:rsidR="008F6573" w:rsidRPr="008F6573">
        <w:rPr>
          <w:rFonts w:cstheme="minorHAnsi"/>
          <w:sz w:val="16"/>
          <w:szCs w:val="16"/>
        </w:rPr>
        <w:tab/>
        <w:t xml:space="preserve">Concluding observations on the combined second and third periodic reports of New Zealand </w:t>
      </w:r>
      <w:r w:rsidRPr="008F6573">
        <w:rPr>
          <w:rFonts w:cstheme="minorHAnsi"/>
          <w:sz w:val="16"/>
          <w:szCs w:val="16"/>
        </w:rPr>
        <w:t>C</w:t>
      </w:r>
      <w:r w:rsidRPr="00EF60B0">
        <w:rPr>
          <w:sz w:val="16"/>
          <w:szCs w:val="16"/>
        </w:rPr>
        <w:t>RPD/C/NZL/CO/2-3 26 September 2022</w:t>
      </w:r>
      <w:r w:rsidR="00E77BE3">
        <w:rPr>
          <w:sz w:val="16"/>
          <w:szCs w:val="16"/>
        </w:rPr>
        <w:t xml:space="preserve"> at para 8 (a) </w:t>
      </w:r>
    </w:p>
  </w:endnote>
  <w:endnote w:id="2">
    <w:p w14:paraId="62613FBA" w14:textId="6829C235" w:rsidR="008460E0" w:rsidRDefault="008460E0">
      <w:pPr>
        <w:pStyle w:val="EndnoteText"/>
      </w:pPr>
      <w:r>
        <w:rPr>
          <w:rStyle w:val="EndnoteReference"/>
        </w:rPr>
        <w:endnoteRef/>
      </w:r>
      <w:r>
        <w:t xml:space="preserve"> </w:t>
      </w:r>
      <w:r w:rsidR="0077511F" w:rsidRPr="005265D7">
        <w:rPr>
          <w:rFonts w:cstheme="minorHAnsi"/>
          <w:sz w:val="16"/>
          <w:szCs w:val="16"/>
        </w:rPr>
        <w:t>Committee on the Rights of Persons with Disabilities</w:t>
      </w:r>
      <w:r w:rsidR="0077511F" w:rsidRPr="008F6573">
        <w:rPr>
          <w:rFonts w:cstheme="minorHAnsi"/>
          <w:sz w:val="16"/>
          <w:szCs w:val="16"/>
        </w:rPr>
        <w:t xml:space="preserve"> </w:t>
      </w:r>
      <w:r w:rsidR="0077511F" w:rsidRPr="008F6573">
        <w:rPr>
          <w:rFonts w:cstheme="minorHAnsi"/>
          <w:sz w:val="16"/>
          <w:szCs w:val="16"/>
        </w:rPr>
        <w:tab/>
        <w:t>Concluding observations</w:t>
      </w:r>
      <w:r w:rsidR="0077511F">
        <w:rPr>
          <w:rFonts w:cstheme="minorHAnsi"/>
          <w:sz w:val="16"/>
          <w:szCs w:val="16"/>
        </w:rPr>
        <w:t xml:space="preserve"> on the initial report of New Zealand </w:t>
      </w:r>
      <w:r w:rsidR="0077511F" w:rsidRPr="0077511F">
        <w:rPr>
          <w:rFonts w:cstheme="minorHAnsi"/>
          <w:sz w:val="16"/>
          <w:szCs w:val="16"/>
        </w:rPr>
        <w:t>CRPD/C/NZL/CO/1</w:t>
      </w:r>
      <w:r w:rsidR="0077511F">
        <w:rPr>
          <w:rFonts w:cstheme="minorHAnsi"/>
          <w:sz w:val="16"/>
          <w:szCs w:val="16"/>
        </w:rPr>
        <w:t xml:space="preserve"> 31 October 2014 at para 50.</w:t>
      </w:r>
    </w:p>
  </w:endnote>
  <w:endnote w:id="3">
    <w:p w14:paraId="700903EF" w14:textId="3D6939AE" w:rsidR="008460E0" w:rsidRDefault="008460E0">
      <w:pPr>
        <w:pStyle w:val="EndnoteText"/>
      </w:pPr>
      <w:r>
        <w:rPr>
          <w:rStyle w:val="EndnoteReference"/>
        </w:rPr>
        <w:endnoteRef/>
      </w:r>
      <w:r>
        <w:t xml:space="preserve"> </w:t>
      </w:r>
      <w:r w:rsidR="0077511F" w:rsidRPr="008F6573">
        <w:rPr>
          <w:rFonts w:cstheme="minorHAnsi"/>
          <w:sz w:val="16"/>
          <w:szCs w:val="16"/>
        </w:rPr>
        <w:t>C</w:t>
      </w:r>
      <w:r w:rsidR="0077511F" w:rsidRPr="00EF60B0">
        <w:rPr>
          <w:sz w:val="16"/>
          <w:szCs w:val="16"/>
        </w:rPr>
        <w:t xml:space="preserve">RPD/C/NZL/CO/2-3 26 September </w:t>
      </w:r>
      <w:r w:rsidR="000D2711" w:rsidRPr="00EF60B0">
        <w:rPr>
          <w:sz w:val="16"/>
          <w:szCs w:val="16"/>
        </w:rPr>
        <w:t>2022</w:t>
      </w:r>
      <w:r w:rsidR="000D2711">
        <w:rPr>
          <w:sz w:val="16"/>
          <w:szCs w:val="16"/>
        </w:rPr>
        <w:t xml:space="preserve"> at</w:t>
      </w:r>
      <w:r w:rsidR="008F6573">
        <w:rPr>
          <w:sz w:val="16"/>
          <w:szCs w:val="16"/>
        </w:rPr>
        <w:t xml:space="preserve"> para 40 (b)</w:t>
      </w:r>
    </w:p>
  </w:endnote>
  <w:endnote w:id="4">
    <w:p w14:paraId="23C557D7" w14:textId="5F618946" w:rsidR="008460E0" w:rsidRDefault="008460E0">
      <w:pPr>
        <w:pStyle w:val="EndnoteText"/>
      </w:pPr>
      <w:r>
        <w:rPr>
          <w:rStyle w:val="EndnoteReference"/>
        </w:rPr>
        <w:endnoteRef/>
      </w:r>
      <w:r>
        <w:t xml:space="preserve"> </w:t>
      </w:r>
      <w:r w:rsidR="008F6573">
        <w:rPr>
          <w:sz w:val="16"/>
          <w:szCs w:val="16"/>
        </w:rPr>
        <w:t>Ibid at para 40 (d)</w:t>
      </w:r>
    </w:p>
  </w:endnote>
  <w:endnote w:id="5">
    <w:p w14:paraId="6E10305C" w14:textId="4776B039" w:rsidR="008460E0" w:rsidRDefault="008460E0">
      <w:pPr>
        <w:pStyle w:val="EndnoteText"/>
      </w:pPr>
      <w:r>
        <w:rPr>
          <w:rStyle w:val="EndnoteReference"/>
        </w:rPr>
        <w:endnoteRef/>
      </w:r>
      <w:r>
        <w:t xml:space="preserve"> </w:t>
      </w:r>
      <w:r w:rsidR="008F6573">
        <w:rPr>
          <w:sz w:val="16"/>
          <w:szCs w:val="16"/>
        </w:rPr>
        <w:t>Ibid at para 48 (a)</w:t>
      </w:r>
    </w:p>
  </w:endnote>
  <w:endnote w:id="6">
    <w:p w14:paraId="2B1610AB" w14:textId="5246EAC1" w:rsidR="008460E0" w:rsidRDefault="008460E0">
      <w:pPr>
        <w:pStyle w:val="EndnoteText"/>
      </w:pPr>
      <w:r>
        <w:rPr>
          <w:rStyle w:val="EndnoteReference"/>
        </w:rPr>
        <w:endnoteRef/>
      </w:r>
      <w:r>
        <w:t xml:space="preserve"> </w:t>
      </w:r>
      <w:r w:rsidR="008F6573">
        <w:rPr>
          <w:sz w:val="16"/>
          <w:szCs w:val="16"/>
        </w:rPr>
        <w:t>Ibid at para 48 (b)</w:t>
      </w:r>
    </w:p>
  </w:endnote>
  <w:endnote w:id="7">
    <w:p w14:paraId="74F76D83" w14:textId="4612E04D" w:rsidR="008460E0" w:rsidRDefault="008460E0">
      <w:pPr>
        <w:pStyle w:val="EndnoteText"/>
      </w:pPr>
      <w:r>
        <w:rPr>
          <w:rStyle w:val="EndnoteReference"/>
        </w:rPr>
        <w:endnoteRef/>
      </w:r>
      <w:r>
        <w:t xml:space="preserve"> </w:t>
      </w:r>
      <w:r w:rsidR="008F6573">
        <w:rPr>
          <w:sz w:val="16"/>
          <w:szCs w:val="16"/>
        </w:rPr>
        <w:t>Ibid at para 40 (c)</w:t>
      </w:r>
    </w:p>
  </w:endnote>
  <w:endnote w:id="8">
    <w:p w14:paraId="5CD8FC10" w14:textId="4DB0C0DF" w:rsidR="00F43A4D" w:rsidRDefault="00F43A4D">
      <w:pPr>
        <w:pStyle w:val="EndnoteText"/>
      </w:pPr>
      <w:r>
        <w:rPr>
          <w:rStyle w:val="EndnoteReference"/>
        </w:rPr>
        <w:endnoteRef/>
      </w:r>
      <w:r w:rsidRPr="00C40723">
        <w:rPr>
          <w:sz w:val="16"/>
          <w:szCs w:val="16"/>
        </w:rPr>
        <w:t>Response to written parliamentary question dated 10 May 2023.</w:t>
      </w:r>
      <w:r>
        <w:t xml:space="preserve"> </w:t>
      </w:r>
    </w:p>
  </w:endnote>
  <w:endnote w:id="9">
    <w:p w14:paraId="7FA9082B" w14:textId="60062A1A" w:rsidR="0081104B" w:rsidRDefault="0081104B">
      <w:pPr>
        <w:pStyle w:val="EndnoteText"/>
      </w:pPr>
      <w:r>
        <w:rPr>
          <w:rStyle w:val="EndnoteReference"/>
        </w:rPr>
        <w:endnoteRef/>
      </w:r>
      <w:r>
        <w:t xml:space="preserve"> </w:t>
      </w:r>
      <w:r w:rsidRPr="005265D7">
        <w:rPr>
          <w:bCs/>
          <w:sz w:val="16"/>
          <w:szCs w:val="16"/>
        </w:rPr>
        <w:t xml:space="preserve">Labour market statistics (disability): June 2023 quarter Retrieved from </w:t>
      </w:r>
      <w:hyperlink r:id="rId1" w:history="1">
        <w:r w:rsidRPr="005265D7">
          <w:rPr>
            <w:rStyle w:val="Hyperlink"/>
            <w:bCs/>
            <w:sz w:val="16"/>
            <w:szCs w:val="16"/>
          </w:rPr>
          <w:t>https://www.stats.govt.nz/information-releases/labour-market-statistics-disability-june-2023-quarter/</w:t>
        </w:r>
      </w:hyperlink>
    </w:p>
  </w:endnote>
  <w:endnote w:id="10">
    <w:p w14:paraId="15D86CDF" w14:textId="2456A8F1" w:rsidR="00547758" w:rsidRDefault="00547758">
      <w:pPr>
        <w:pStyle w:val="EndnoteText"/>
      </w:pPr>
      <w:r>
        <w:rPr>
          <w:rStyle w:val="EndnoteReference"/>
        </w:rPr>
        <w:endnoteRef/>
      </w:r>
      <w:r>
        <w:t xml:space="preserve"> </w:t>
      </w:r>
      <w:r>
        <w:rPr>
          <w:sz w:val="18"/>
          <w:szCs w:val="18"/>
        </w:rPr>
        <w:t xml:space="preserve">See Education Review Office Te Tari Arotake </w:t>
      </w:r>
      <w:r>
        <w:rPr>
          <w:sz w:val="18"/>
          <w:szCs w:val="18"/>
          <w:lang w:val="mi-NZ"/>
        </w:rPr>
        <w:t>M</w:t>
      </w:r>
      <w:r>
        <w:rPr>
          <w:rStyle w:val="normaltextrun"/>
          <w:color w:val="000000"/>
          <w:sz w:val="18"/>
          <w:szCs w:val="18"/>
          <w:shd w:val="clear" w:color="auto" w:fill="FFFFFF"/>
        </w:rPr>
        <w:t>ā</w:t>
      </w:r>
      <w:r>
        <w:rPr>
          <w:sz w:val="18"/>
          <w:szCs w:val="18"/>
          <w:lang w:val="mi-NZ"/>
        </w:rPr>
        <w:t xml:space="preserve">tauranga (in partnership with </w:t>
      </w:r>
      <w:r>
        <w:rPr>
          <w:sz w:val="18"/>
          <w:szCs w:val="18"/>
        </w:rPr>
        <w:t>the</w:t>
      </w:r>
      <w:r>
        <w:rPr>
          <w:sz w:val="18"/>
          <w:szCs w:val="18"/>
          <w:lang w:val="mi-NZ"/>
        </w:rPr>
        <w:t xml:space="preserve"> Human Rights Commisson and the Office for Disability Issues) “Thriving at school? Education for disabled learners in schools” 28 September 2022, available at: </w:t>
      </w:r>
      <w:hyperlink r:id="rId2" w:history="1">
        <w:r>
          <w:rPr>
            <w:rStyle w:val="Hyperlink"/>
            <w:sz w:val="18"/>
            <w:szCs w:val="18"/>
            <w:lang w:val="mi-NZ"/>
          </w:rPr>
          <w:t>https://ero.govt.nz/our-research/thriving-at-school-education-for-disabled-learners-in-schools</w:t>
        </w:r>
      </w:hyperlink>
    </w:p>
  </w:endnote>
  <w:endnote w:id="11">
    <w:p w14:paraId="6C855147" w14:textId="4EA2B955" w:rsidR="00512D28" w:rsidRPr="00247676" w:rsidRDefault="00512D28" w:rsidP="00247676">
      <w:pPr>
        <w:pStyle w:val="FootnoteText"/>
        <w:rPr>
          <w:sz w:val="16"/>
          <w:szCs w:val="16"/>
        </w:rPr>
      </w:pPr>
      <w:r>
        <w:rPr>
          <w:rStyle w:val="EndnoteReference"/>
        </w:rPr>
        <w:endnoteRef/>
      </w:r>
      <w:r>
        <w:t xml:space="preserve"> </w:t>
      </w:r>
      <w:r w:rsidR="00247676" w:rsidRPr="00247676">
        <w:rPr>
          <w:sz w:val="16"/>
          <w:szCs w:val="16"/>
        </w:rPr>
        <w:t>Highest Needs Review: Report back to Cabinet 7 November 2022</w:t>
      </w:r>
      <w:r w:rsidR="00247676">
        <w:t xml:space="preserve"> </w:t>
      </w:r>
      <w:hyperlink r:id="rId3" w:history="1">
        <w:r w:rsidR="00247676" w:rsidRPr="00AF0AAB">
          <w:rPr>
            <w:rStyle w:val="Hyperlink"/>
            <w:sz w:val="16"/>
            <w:szCs w:val="16"/>
          </w:rPr>
          <w:t>https://assets.education.govt.nz/public/Documents/our-work/information-releases/Issue-Specific-release/Highest-Needs-Review-Cover-Sheet-CAB-Pack-</w:t>
        </w:r>
        <w:r w:rsidR="00247676" w:rsidRPr="00AF0AAB">
          <w:rPr>
            <w:rStyle w:val="Hyperlink"/>
            <w:rFonts w:ascii="Calibri" w:eastAsia="Calibri" w:hAnsi="Calibri" w:cs="Arial"/>
            <w:i/>
            <w:iCs/>
            <w:sz w:val="16"/>
            <w:szCs w:val="16"/>
            <w:lang w:bidi="he-IL"/>
          </w:rPr>
          <w:t>Annex</w:t>
        </w:r>
        <w:r w:rsidR="00247676" w:rsidRPr="00AF0AAB">
          <w:rPr>
            <w:rStyle w:val="Hyperlink"/>
            <w:sz w:val="16"/>
            <w:szCs w:val="16"/>
          </w:rPr>
          <w:t>.pdf</w:t>
        </w:r>
      </w:hyperlink>
    </w:p>
  </w:endnote>
  <w:endnote w:id="12">
    <w:p w14:paraId="65158E6F" w14:textId="5F0C2513" w:rsidR="005C63FD" w:rsidRDefault="005C63FD">
      <w:pPr>
        <w:pStyle w:val="EndnoteText"/>
      </w:pPr>
      <w:r>
        <w:rPr>
          <w:rStyle w:val="EndnoteReference"/>
        </w:rPr>
        <w:endnoteRef/>
      </w:r>
      <w:r>
        <w:t xml:space="preserve"> </w:t>
      </w:r>
      <w:r w:rsidRPr="00FE1597">
        <w:rPr>
          <w:sz w:val="16"/>
          <w:szCs w:val="16"/>
        </w:rPr>
        <w:t>https://swa.govt.nz/news/new-news-page-4/</w:t>
      </w:r>
    </w:p>
  </w:endnote>
  <w:endnote w:id="13">
    <w:p w14:paraId="4F404C00" w14:textId="1D622664" w:rsidR="005B672E" w:rsidRPr="005B672E" w:rsidRDefault="005B672E">
      <w:pPr>
        <w:pStyle w:val="EndnoteText"/>
      </w:pPr>
      <w:r>
        <w:rPr>
          <w:rStyle w:val="EndnoteReference"/>
        </w:rPr>
        <w:endnoteRef/>
      </w:r>
      <w:r w:rsidRPr="005B672E">
        <w:t xml:space="preserve"> </w:t>
      </w:r>
      <w:r w:rsidR="001963D5">
        <w:rPr>
          <w:sz w:val="18"/>
          <w:szCs w:val="18"/>
        </w:rPr>
        <w:t xml:space="preserve">The Government supported recommendations </w:t>
      </w:r>
      <w:r w:rsidR="001963D5">
        <w:rPr>
          <w:sz w:val="18"/>
          <w:szCs w:val="18"/>
          <w:lang w:val="mi-NZ"/>
        </w:rPr>
        <w:t>122.104 (Hungary) and 122.103 (State of Palestine).</w:t>
      </w:r>
    </w:p>
  </w:endnote>
  <w:endnote w:id="14">
    <w:p w14:paraId="37997AD4" w14:textId="318ED85F" w:rsidR="005F6F23" w:rsidRPr="005265D7" w:rsidRDefault="005F6F23" w:rsidP="00547758">
      <w:pPr>
        <w:rPr>
          <w:rFonts w:cstheme="minorHAnsi"/>
          <w:sz w:val="16"/>
          <w:szCs w:val="16"/>
        </w:rPr>
      </w:pPr>
      <w:r>
        <w:rPr>
          <w:rStyle w:val="EndnoteReference"/>
        </w:rPr>
        <w:endnoteRef/>
      </w:r>
      <w:r>
        <w:t xml:space="preserve"> </w:t>
      </w:r>
      <w:r w:rsidR="001D3974" w:rsidRPr="005265D7">
        <w:rPr>
          <w:rFonts w:cstheme="minorHAnsi"/>
          <w:sz w:val="16"/>
          <w:szCs w:val="16"/>
        </w:rPr>
        <w:t xml:space="preserve">Impact Summary: Strengthening the Right to education by confirming the right to attendance see page 10 Retrieved from  </w:t>
      </w:r>
      <w:hyperlink r:id="rId4" w:history="1">
        <w:r w:rsidR="001D3974" w:rsidRPr="005265D7">
          <w:rPr>
            <w:rStyle w:val="Hyperlink"/>
            <w:rFonts w:cstheme="minorHAnsi"/>
            <w:sz w:val="16"/>
            <w:szCs w:val="16"/>
          </w:rPr>
          <w:t>https://assets.education.govt.nz/public/Documents/Ministry/Legislation/ETB/Strengthening-the-right-to-education-by-confirming-the-right-to-attendan....pdf</w:t>
        </w:r>
      </w:hyperlink>
    </w:p>
  </w:endnote>
  <w:endnote w:id="15">
    <w:p w14:paraId="3CDC24F3" w14:textId="77777777" w:rsidR="009F1118" w:rsidRPr="005265D7" w:rsidRDefault="009F1118" w:rsidP="009F1118">
      <w:pPr>
        <w:pStyle w:val="FootnoteText"/>
        <w:spacing w:line="276" w:lineRule="auto"/>
        <w:jc w:val="both"/>
        <w:rPr>
          <w:rFonts w:ascii="Calibri" w:hAnsi="Calibri" w:cs="Calibri"/>
          <w:sz w:val="16"/>
          <w:szCs w:val="16"/>
        </w:rPr>
      </w:pPr>
      <w:r>
        <w:rPr>
          <w:rStyle w:val="EndnoteReference"/>
        </w:rPr>
        <w:endnoteRef/>
      </w:r>
      <w:r>
        <w:t xml:space="preserve"> </w:t>
      </w:r>
      <w:r w:rsidRPr="005265D7">
        <w:rPr>
          <w:rFonts w:cstheme="minorHAnsi"/>
          <w:sz w:val="16"/>
          <w:szCs w:val="16"/>
        </w:rPr>
        <w:t xml:space="preserve">Committee on the Rights of Persons with Disabilities </w:t>
      </w:r>
      <w:r w:rsidRPr="005265D7">
        <w:rPr>
          <w:rFonts w:cstheme="minorHAnsi"/>
          <w:i/>
          <w:iCs/>
          <w:sz w:val="16"/>
          <w:szCs w:val="16"/>
        </w:rPr>
        <w:t>General Comment No.4</w:t>
      </w:r>
      <w:r w:rsidRPr="005265D7">
        <w:rPr>
          <w:rFonts w:cstheme="minorHAnsi"/>
          <w:sz w:val="16"/>
          <w:szCs w:val="16"/>
        </w:rPr>
        <w:t xml:space="preserve"> (</w:t>
      </w:r>
      <w:r w:rsidRPr="005265D7">
        <w:rPr>
          <w:sz w:val="16"/>
          <w:szCs w:val="16"/>
        </w:rPr>
        <w:t xml:space="preserve">CRPD/C/GC/4) (25 </w:t>
      </w:r>
    </w:p>
    <w:p w14:paraId="58CC3E3F" w14:textId="5EB1061C" w:rsidR="009F1118" w:rsidRPr="00081300" w:rsidRDefault="009F1118" w:rsidP="00081300">
      <w:pPr>
        <w:pStyle w:val="FootnoteText"/>
        <w:spacing w:line="276" w:lineRule="auto"/>
        <w:jc w:val="both"/>
        <w:rPr>
          <w:rFonts w:cstheme="minorHAnsi"/>
          <w:sz w:val="18"/>
          <w:szCs w:val="18"/>
        </w:rPr>
      </w:pPr>
      <w:r w:rsidRPr="005265D7">
        <w:rPr>
          <w:sz w:val="16"/>
          <w:szCs w:val="16"/>
        </w:rPr>
        <w:t xml:space="preserve">November 2016) </w:t>
      </w:r>
      <w:r w:rsidRPr="005265D7">
        <w:rPr>
          <w:rFonts w:cstheme="minorHAnsi"/>
          <w:sz w:val="16"/>
          <w:szCs w:val="16"/>
        </w:rPr>
        <w:t>at [2] and [10(a)]. The United Nations Convention on the Rights of the Child also stresses that, regarding children with disabilities, assistance must be provided to ensure that they have ‘effective access to … education … in a manner conducive to achieving the fullest possible social integration and individual development’ (article 23).</w:t>
      </w:r>
    </w:p>
  </w:endnote>
  <w:endnote w:id="16">
    <w:p w14:paraId="0222E504" w14:textId="0291E05A" w:rsidR="005A2C0B" w:rsidRDefault="005A2C0B">
      <w:pPr>
        <w:pStyle w:val="EndnoteText"/>
      </w:pPr>
      <w:r>
        <w:rPr>
          <w:rStyle w:val="EndnoteReference"/>
        </w:rPr>
        <w:endnoteRef/>
      </w:r>
      <w:r>
        <w:t xml:space="preserve"> </w:t>
      </w:r>
      <w:r w:rsidRPr="00E76A19">
        <w:rPr>
          <w:sz w:val="16"/>
          <w:szCs w:val="16"/>
        </w:rPr>
        <w:t xml:space="preserve">The Government supported recommendations </w:t>
      </w:r>
      <w:r w:rsidRPr="00E76A19">
        <w:rPr>
          <w:sz w:val="16"/>
          <w:szCs w:val="16"/>
          <w:lang w:val="mi-NZ"/>
        </w:rPr>
        <w:t>122.158 to 122.160.</w:t>
      </w:r>
      <w:r>
        <w:rPr>
          <w:sz w:val="18"/>
          <w:szCs w:val="18"/>
          <w:lang w:val="mi-NZ"/>
        </w:rPr>
        <w:t xml:space="preserve"> </w:t>
      </w:r>
    </w:p>
  </w:endnote>
  <w:endnote w:id="17">
    <w:p w14:paraId="4E27EF0D" w14:textId="21BC798A" w:rsidR="00081300" w:rsidRDefault="00081300">
      <w:pPr>
        <w:pStyle w:val="EndnoteText"/>
      </w:pPr>
      <w:r>
        <w:rPr>
          <w:rStyle w:val="EndnoteReference"/>
        </w:rPr>
        <w:endnoteRef/>
      </w:r>
      <w:r>
        <w:t xml:space="preserve"> </w:t>
      </w:r>
      <w:r w:rsidRPr="00081300">
        <w:rPr>
          <w:rFonts w:asciiTheme="minorHAnsi" w:hAnsiTheme="minorHAnsi" w:cstheme="minorHAnsi"/>
          <w:sz w:val="16"/>
          <w:szCs w:val="16"/>
        </w:rPr>
        <w:t>Ibid at [11].</w:t>
      </w:r>
    </w:p>
  </w:endnote>
  <w:endnote w:id="18">
    <w:p w14:paraId="68C95C8A" w14:textId="0E472FD2" w:rsidR="00651F7E" w:rsidRPr="00651F7E" w:rsidRDefault="00651F7E" w:rsidP="00651F7E">
      <w:pPr>
        <w:pStyle w:val="FootnoteText"/>
        <w:spacing w:line="276" w:lineRule="auto"/>
        <w:ind w:hanging="142"/>
        <w:rPr>
          <w:rFonts w:cstheme="minorHAnsi"/>
          <w:sz w:val="16"/>
          <w:szCs w:val="16"/>
        </w:rPr>
      </w:pPr>
      <w:r>
        <w:rPr>
          <w:rStyle w:val="EndnoteReference"/>
        </w:rPr>
        <w:endnoteRef/>
      </w:r>
      <w:r>
        <w:t xml:space="preserve"> </w:t>
      </w:r>
      <w:r w:rsidRPr="00651F7E">
        <w:rPr>
          <w:rFonts w:cstheme="minorHAnsi"/>
          <w:sz w:val="16"/>
          <w:szCs w:val="16"/>
        </w:rPr>
        <w:t>Ibid at [39]. See also A Byrnes “</w:t>
      </w:r>
      <w:hyperlink r:id="rId5" w:history="1">
        <w:r w:rsidRPr="00651F7E">
          <w:rPr>
            <w:rStyle w:val="Hyperlink"/>
            <w:rFonts w:cstheme="minorHAnsi"/>
            <w:sz w:val="16"/>
            <w:szCs w:val="16"/>
          </w:rPr>
          <w:t>Analysis of Article 24 of the Convention on the Rights of Persons with Disabilities and its Relation to Other International Instruments</w:t>
        </w:r>
      </w:hyperlink>
      <w:r w:rsidRPr="00651F7E">
        <w:rPr>
          <w:rFonts w:cstheme="minorHAnsi"/>
          <w:sz w:val="16"/>
          <w:szCs w:val="16"/>
        </w:rPr>
        <w:t xml:space="preserve">” (September 2020), at pp.2 – 4 which states that article 24 “obliges states to transition to a system of fully inclusive education, involving in the medium-term to long-term the allocation of resources to general schools to support this transition and the eventual abolition of special schools or other forms of segregated education for children with disability”. This analysis further found that States’ obligations under article 24 are not inconsistent with article 13(3) of the ICESCR and article 26(3) of the UDHR, which do not guarantee parents the liberty to choose separate schooling </w:t>
      </w:r>
      <w:r w:rsidR="00E76A19" w:rsidRPr="00651F7E">
        <w:rPr>
          <w:rFonts w:cstheme="minorHAnsi"/>
          <w:sz w:val="16"/>
          <w:szCs w:val="16"/>
        </w:rPr>
        <w:t>based on</w:t>
      </w:r>
      <w:r w:rsidRPr="00651F7E">
        <w:rPr>
          <w:rFonts w:cstheme="minorHAnsi"/>
          <w:sz w:val="16"/>
          <w:szCs w:val="16"/>
        </w:rPr>
        <w:t xml:space="preserve"> their child’s disability. </w:t>
      </w:r>
    </w:p>
  </w:endnote>
  <w:endnote w:id="19">
    <w:p w14:paraId="6FD1C10E" w14:textId="5EFBA731" w:rsidR="00CB3258" w:rsidRDefault="00CB3258">
      <w:pPr>
        <w:pStyle w:val="EndnoteText"/>
      </w:pPr>
      <w:r>
        <w:rPr>
          <w:rStyle w:val="EndnoteReference"/>
        </w:rPr>
        <w:endnoteRef/>
      </w:r>
      <w:r>
        <w:t xml:space="preserve"> </w:t>
      </w:r>
      <w:r w:rsidRPr="00CB3258">
        <w:rPr>
          <w:rFonts w:asciiTheme="minorHAnsi" w:hAnsiTheme="minorHAnsi" w:cstheme="minorHAnsi"/>
          <w:sz w:val="16"/>
          <w:szCs w:val="16"/>
        </w:rPr>
        <w:t>Ibid at [64].</w:t>
      </w:r>
    </w:p>
  </w:endnote>
  <w:endnote w:id="20">
    <w:p w14:paraId="6BF9C6F3" w14:textId="33C0CD8E" w:rsidR="007B239B" w:rsidRPr="007B239B" w:rsidRDefault="007B239B" w:rsidP="007B239B">
      <w:pPr>
        <w:pStyle w:val="FootnoteText"/>
        <w:spacing w:line="276" w:lineRule="auto"/>
        <w:rPr>
          <w:rFonts w:cstheme="minorHAnsi"/>
        </w:rPr>
      </w:pPr>
      <w:r>
        <w:rPr>
          <w:rStyle w:val="EndnoteReference"/>
        </w:rPr>
        <w:endnoteRef/>
      </w:r>
      <w:r>
        <w:t xml:space="preserve"> </w:t>
      </w:r>
      <w:r w:rsidRPr="007B239B">
        <w:rPr>
          <w:rFonts w:cstheme="minorHAnsi"/>
          <w:sz w:val="16"/>
          <w:szCs w:val="16"/>
        </w:rPr>
        <w:t xml:space="preserve">CRPD, article 24(2)(b); </w:t>
      </w:r>
      <w:r w:rsidRPr="007B239B">
        <w:rPr>
          <w:sz w:val="16"/>
          <w:szCs w:val="16"/>
        </w:rPr>
        <w:t>CRPD/C/GC/4, 2 September 2016</w:t>
      </w:r>
      <w:r w:rsidRPr="007B239B">
        <w:rPr>
          <w:rFonts w:cstheme="minorHAnsi"/>
          <w:sz w:val="16"/>
          <w:szCs w:val="16"/>
        </w:rPr>
        <w:t xml:space="preserve"> at [26].</w:t>
      </w:r>
    </w:p>
  </w:endnote>
  <w:endnote w:id="21">
    <w:p w14:paraId="13DBE08C" w14:textId="6F5ADEAA" w:rsidR="00A60B67" w:rsidRDefault="00A60B67">
      <w:pPr>
        <w:pStyle w:val="EndnoteText"/>
      </w:pPr>
      <w:r>
        <w:rPr>
          <w:rStyle w:val="EndnoteReference"/>
        </w:rPr>
        <w:endnoteRef/>
      </w:r>
      <w:r>
        <w:t xml:space="preserve"> </w:t>
      </w:r>
      <w:r w:rsidRPr="00A60B67">
        <w:rPr>
          <w:sz w:val="16"/>
          <w:szCs w:val="16"/>
        </w:rPr>
        <w:t>In 2008 the total roll number at special school was 2871. This has increased to 4</w:t>
      </w:r>
      <w:r>
        <w:rPr>
          <w:sz w:val="16"/>
          <w:szCs w:val="16"/>
        </w:rPr>
        <w:t>195</w:t>
      </w:r>
      <w:r w:rsidRPr="00A60B67">
        <w:rPr>
          <w:sz w:val="16"/>
          <w:szCs w:val="16"/>
        </w:rPr>
        <w:t xml:space="preserve"> in 202</w:t>
      </w:r>
      <w:r>
        <w:rPr>
          <w:sz w:val="16"/>
          <w:szCs w:val="16"/>
        </w:rPr>
        <w:t>2</w:t>
      </w:r>
      <w:r w:rsidRPr="00A60B67">
        <w:rPr>
          <w:sz w:val="16"/>
          <w:szCs w:val="16"/>
        </w:rPr>
        <w:t xml:space="preserve">. Retrieved from </w:t>
      </w:r>
      <w:hyperlink r:id="rId6" w:history="1">
        <w:r w:rsidRPr="00A60B67">
          <w:rPr>
            <w:rStyle w:val="Hyperlink"/>
            <w:sz w:val="16"/>
            <w:szCs w:val="16"/>
          </w:rPr>
          <w:t>https://www.educationcounts.govt.nz/statistics/school-rolls</w:t>
        </w:r>
      </w:hyperlink>
    </w:p>
  </w:endnote>
  <w:endnote w:id="22">
    <w:p w14:paraId="18949476" w14:textId="4F7A59F8" w:rsidR="00856BFD" w:rsidRPr="00856BFD" w:rsidRDefault="00856BFD" w:rsidP="00123D01">
      <w:pPr>
        <w:pStyle w:val="FootnoteText"/>
        <w:rPr>
          <w:sz w:val="16"/>
          <w:szCs w:val="16"/>
        </w:rPr>
      </w:pPr>
      <w:r>
        <w:rPr>
          <w:rStyle w:val="EndnoteReference"/>
        </w:rPr>
        <w:endnoteRef/>
      </w:r>
      <w:r>
        <w:t xml:space="preserve"> </w:t>
      </w:r>
      <w:r w:rsidRPr="00856BFD">
        <w:rPr>
          <w:sz w:val="16"/>
          <w:szCs w:val="16"/>
        </w:rPr>
        <w:t xml:space="preserve">According to a recent Ministry of Education stocktake of services 10,291, students (1.2% of the school population) with the highest ongoing disability and learning support needs were supported by the ongoing resourcing scheme as </w:t>
      </w:r>
      <w:r w:rsidR="00E76A19" w:rsidRPr="00856BFD">
        <w:rPr>
          <w:sz w:val="16"/>
          <w:szCs w:val="16"/>
        </w:rPr>
        <w:t>of</w:t>
      </w:r>
      <w:r w:rsidRPr="00856BFD">
        <w:rPr>
          <w:sz w:val="16"/>
          <w:szCs w:val="16"/>
        </w:rPr>
        <w:t xml:space="preserve"> May 2021. Retrieved from </w:t>
      </w:r>
      <w:hyperlink r:id="rId7" w:history="1">
        <w:r w:rsidRPr="00856BFD">
          <w:rPr>
            <w:rStyle w:val="Hyperlink"/>
            <w:sz w:val="16"/>
            <w:szCs w:val="16"/>
          </w:rPr>
          <w:t>https://assets.education.govt.nz/public/Documents/our-work/information-releases/Advice-Seen-by-our-Ministers/September-2021/Cabinet-Paper-material_Redacted.pdf</w:t>
        </w:r>
      </w:hyperlink>
      <w:r w:rsidRPr="00856BFD">
        <w:rPr>
          <w:sz w:val="16"/>
          <w:szCs w:val="16"/>
        </w:rPr>
        <w:t xml:space="preserve"> see Appendix Three. As </w:t>
      </w:r>
      <w:r w:rsidR="00E76A19" w:rsidRPr="00856BFD">
        <w:rPr>
          <w:sz w:val="16"/>
          <w:szCs w:val="16"/>
        </w:rPr>
        <w:t>of</w:t>
      </w:r>
      <w:r w:rsidRPr="00856BFD">
        <w:rPr>
          <w:sz w:val="16"/>
          <w:szCs w:val="16"/>
        </w:rPr>
        <w:t xml:space="preserve"> </w:t>
      </w:r>
      <w:r w:rsidR="00E76A19" w:rsidRPr="00856BFD">
        <w:rPr>
          <w:sz w:val="16"/>
          <w:szCs w:val="16"/>
        </w:rPr>
        <w:t>1 July 2021 4023,</w:t>
      </w:r>
      <w:r w:rsidRPr="00856BFD">
        <w:rPr>
          <w:sz w:val="16"/>
          <w:szCs w:val="16"/>
        </w:rPr>
        <w:t xml:space="preserve"> students with the highest ongoing disability and learning and support needs were enrolled at a specialist school.       </w:t>
      </w:r>
    </w:p>
  </w:endnote>
  <w:endnote w:id="23">
    <w:p w14:paraId="23908E24" w14:textId="65C40EF6" w:rsidR="00123D01" w:rsidRPr="00123D01" w:rsidRDefault="00123D01" w:rsidP="00123D01">
      <w:pPr>
        <w:pStyle w:val="FootnoteText"/>
        <w:rPr>
          <w:sz w:val="16"/>
          <w:szCs w:val="16"/>
        </w:rPr>
      </w:pPr>
      <w:r w:rsidRPr="005D335A">
        <w:rPr>
          <w:rStyle w:val="FootnoteReference"/>
        </w:rPr>
        <w:endnoteRef/>
      </w:r>
      <w:hyperlink r:id="rId8" w:history="1">
        <w:r w:rsidRPr="00123D01">
          <w:rPr>
            <w:rStyle w:val="Hyperlink"/>
            <w:sz w:val="16"/>
            <w:szCs w:val="16"/>
          </w:rPr>
          <w:t>https://assets.education.govt.nz/public/Documents/Ministry/Budgets/Budget2019/NEGP/AucklandTaiTokerauplans.pdf</w:t>
        </w:r>
      </w:hyperlink>
      <w:r w:rsidRPr="00123D01">
        <w:rPr>
          <w:sz w:val="16"/>
          <w:szCs w:val="16"/>
        </w:rPr>
        <w:t xml:space="preserve"> See page 13 “</w:t>
      </w:r>
      <w:r w:rsidRPr="00123D01">
        <w:rPr>
          <w:i/>
          <w:sz w:val="16"/>
          <w:szCs w:val="16"/>
        </w:rPr>
        <w:t xml:space="preserve">Approximately 85% of ORS </w:t>
      </w:r>
      <w:r w:rsidR="00E76A19" w:rsidRPr="00123D01">
        <w:rPr>
          <w:i/>
          <w:sz w:val="16"/>
          <w:szCs w:val="16"/>
        </w:rPr>
        <w:t>verified</w:t>
      </w:r>
      <w:r w:rsidRPr="00123D01">
        <w:rPr>
          <w:i/>
          <w:sz w:val="16"/>
          <w:szCs w:val="16"/>
        </w:rPr>
        <w:t xml:space="preserve"> students are enrolled in special schools.”</w:t>
      </w:r>
      <w:r w:rsidRPr="00123D01">
        <w:rPr>
          <w:sz w:val="16"/>
          <w:szCs w:val="16"/>
        </w:rPr>
        <w:t xml:space="preserve"> And page 37 “</w:t>
      </w:r>
      <w:r w:rsidRPr="00123D01">
        <w:rPr>
          <w:i/>
          <w:sz w:val="16"/>
          <w:szCs w:val="16"/>
        </w:rPr>
        <w:t xml:space="preserve">Approximately 82% of ORS </w:t>
      </w:r>
      <w:r w:rsidR="00E76A19" w:rsidRPr="00123D01">
        <w:rPr>
          <w:i/>
          <w:sz w:val="16"/>
          <w:szCs w:val="16"/>
        </w:rPr>
        <w:t>verified</w:t>
      </w:r>
      <w:r w:rsidRPr="00123D01">
        <w:rPr>
          <w:i/>
          <w:sz w:val="16"/>
          <w:szCs w:val="16"/>
        </w:rPr>
        <w:t xml:space="preserve"> students are enrolled at Rosehill Special School.”</w:t>
      </w:r>
    </w:p>
  </w:endnote>
  <w:endnote w:id="24">
    <w:p w14:paraId="6CD69672" w14:textId="122F3FB1" w:rsidR="00123D01" w:rsidRDefault="00123D01">
      <w:pPr>
        <w:pStyle w:val="EndnoteText"/>
      </w:pPr>
      <w:r>
        <w:rPr>
          <w:rStyle w:val="EndnoteReference"/>
        </w:rPr>
        <w:endnoteRef/>
      </w:r>
      <w:r w:rsidRPr="00123D01">
        <w:rPr>
          <w:sz w:val="16"/>
          <w:szCs w:val="16"/>
        </w:rPr>
        <w:t xml:space="preserve"> </w:t>
      </w:r>
      <w:hyperlink r:id="rId9" w:history="1">
        <w:r w:rsidRPr="00123D01">
          <w:rPr>
            <w:rStyle w:val="Hyperlink"/>
            <w:sz w:val="16"/>
            <w:szCs w:val="16"/>
          </w:rPr>
          <w:t>https://www.beehive.govt.nz/release/government-build-new-schools-and-classrooms-100000-students</w:t>
        </w:r>
      </w:hyperlink>
    </w:p>
  </w:endnote>
  <w:endnote w:id="25">
    <w:p w14:paraId="724918FC" w14:textId="26AE3C59" w:rsidR="00AB38B7" w:rsidRDefault="00AB38B7">
      <w:pPr>
        <w:pStyle w:val="EndnoteText"/>
      </w:pPr>
      <w:r>
        <w:rPr>
          <w:rStyle w:val="EndnoteReference"/>
        </w:rPr>
        <w:endnoteRef/>
      </w:r>
      <w:r>
        <w:t xml:space="preserve"> </w:t>
      </w:r>
      <w:r w:rsidRPr="007B239B">
        <w:rPr>
          <w:sz w:val="16"/>
          <w:szCs w:val="16"/>
        </w:rPr>
        <w:t>CRPD/C/GC/4, 2 September 2016</w:t>
      </w:r>
    </w:p>
  </w:endnote>
  <w:endnote w:id="26">
    <w:p w14:paraId="1AB463FE" w14:textId="553E1ADC" w:rsidR="00FE1597" w:rsidRPr="00217504" w:rsidRDefault="00FE1597">
      <w:pPr>
        <w:pStyle w:val="EndnoteText"/>
        <w:rPr>
          <w:sz w:val="16"/>
          <w:szCs w:val="16"/>
        </w:rPr>
      </w:pPr>
      <w:r>
        <w:rPr>
          <w:rStyle w:val="EndnoteReference"/>
        </w:rPr>
        <w:endnoteRef/>
      </w:r>
      <w:r>
        <w:t xml:space="preserve"> </w:t>
      </w:r>
      <w:hyperlink r:id="rId10" w:history="1">
        <w:r w:rsidR="00217504" w:rsidRPr="00217504">
          <w:rPr>
            <w:rStyle w:val="Hyperlink"/>
            <w:sz w:val="16"/>
            <w:szCs w:val="16"/>
          </w:rPr>
          <w:t>https://tbinternet.ohchr.org/_layouts/15/treatybodyexternal/Download.aspx?symbolno=CRPD/C/NZL/CO/2-3&amp;Lang=en&amp;fbclid=IwAR3tk8UewYKYRT7ELHWGOOwqC2zRE-N_NPu-hMAslu7LVNWSpYpmHfwZDGA</w:t>
        </w:r>
      </w:hyperlink>
      <w:r w:rsidR="00217504" w:rsidRPr="00217504">
        <w:rPr>
          <w:sz w:val="16"/>
          <w:szCs w:val="16"/>
        </w:rPr>
        <w:t xml:space="preserve"> at 47 (a)}</w:t>
      </w:r>
    </w:p>
  </w:endnote>
  <w:endnote w:id="27">
    <w:p w14:paraId="350E76F7" w14:textId="37F4344E" w:rsidR="00D1450E" w:rsidRPr="00890738" w:rsidRDefault="00D1450E">
      <w:pPr>
        <w:pStyle w:val="EndnoteText"/>
        <w:rPr>
          <w:sz w:val="16"/>
          <w:szCs w:val="16"/>
        </w:rPr>
      </w:pPr>
      <w:r>
        <w:rPr>
          <w:rStyle w:val="EndnoteReference"/>
        </w:rPr>
        <w:endnoteRef/>
      </w:r>
      <w:r>
        <w:t xml:space="preserve"> </w:t>
      </w:r>
      <w:r w:rsidR="00890738" w:rsidRPr="00C40723">
        <w:rPr>
          <w:sz w:val="16"/>
          <w:szCs w:val="16"/>
        </w:rPr>
        <w:t>Response to written parliamentary question dated 10 May 2023.</w:t>
      </w:r>
    </w:p>
  </w:endnote>
  <w:endnote w:id="28">
    <w:p w14:paraId="525A5414" w14:textId="28943CDD" w:rsidR="00087A6D" w:rsidRDefault="00087A6D">
      <w:pPr>
        <w:pStyle w:val="EndnoteText"/>
      </w:pPr>
      <w:r>
        <w:rPr>
          <w:rStyle w:val="EndnoteReference"/>
        </w:rPr>
        <w:endnoteRef/>
      </w:r>
      <w:r>
        <w:t xml:space="preserve"> </w:t>
      </w:r>
      <w:r w:rsidRPr="00087A6D">
        <w:rPr>
          <w:sz w:val="16"/>
          <w:szCs w:val="16"/>
        </w:rPr>
        <w:t xml:space="preserve">IHC’s claim before the HRRT regarding equal access to education. See IHC “Human rights experts hear from parents” (20 July 2021) at </w:t>
      </w:r>
      <w:hyperlink r:id="rId11" w:history="1">
        <w:r w:rsidRPr="00087A6D">
          <w:rPr>
            <w:sz w:val="16"/>
            <w:szCs w:val="16"/>
          </w:rPr>
          <w:t>https://ihc.org.nz/strong-voices/human-rights-experts-hear-parents</w:t>
        </w:r>
      </w:hyperlink>
      <w:r w:rsidR="009F311C">
        <w:rPr>
          <w:sz w:val="16"/>
          <w:szCs w:val="16"/>
        </w:rPr>
        <w:t xml:space="preserve">  </w:t>
      </w:r>
    </w:p>
  </w:endnote>
  <w:endnote w:id="29">
    <w:p w14:paraId="1847E64C" w14:textId="6767D2C1" w:rsidR="007E36FF" w:rsidRPr="00C40723" w:rsidRDefault="007E36FF">
      <w:pPr>
        <w:pStyle w:val="EndnoteText"/>
        <w:rPr>
          <w:sz w:val="16"/>
          <w:szCs w:val="16"/>
        </w:rPr>
      </w:pPr>
      <w:r>
        <w:rPr>
          <w:rStyle w:val="EndnoteReference"/>
        </w:rPr>
        <w:endnoteRef/>
      </w:r>
      <w:r>
        <w:t xml:space="preserve"> </w:t>
      </w:r>
      <w:r w:rsidR="00C40723" w:rsidRPr="00C40723">
        <w:rPr>
          <w:sz w:val="16"/>
          <w:szCs w:val="16"/>
        </w:rPr>
        <w:t>Response to written parliamentary question dated 10 May 2023.</w:t>
      </w:r>
    </w:p>
  </w:endnote>
  <w:endnote w:id="30">
    <w:p w14:paraId="6D3EFA2D" w14:textId="53248F9A" w:rsidR="00633401" w:rsidRDefault="00633401">
      <w:pPr>
        <w:pStyle w:val="EndnoteText"/>
      </w:pPr>
      <w:r>
        <w:rPr>
          <w:rStyle w:val="EndnoteReference"/>
        </w:rPr>
        <w:endnoteRef/>
      </w:r>
      <w:r w:rsidRPr="00D1450E">
        <w:rPr>
          <w:sz w:val="16"/>
          <w:szCs w:val="16"/>
        </w:rPr>
        <w:t xml:space="preserve"> </w:t>
      </w:r>
      <w:r w:rsidR="00D1450E" w:rsidRPr="00D1450E">
        <w:rPr>
          <w:sz w:val="16"/>
          <w:szCs w:val="16"/>
        </w:rPr>
        <w:t xml:space="preserve">Ibid at {39 (d)} </w:t>
      </w:r>
    </w:p>
  </w:endnote>
  <w:endnote w:id="31">
    <w:p w14:paraId="30BCC890" w14:textId="39B77BE5" w:rsidR="009F311C" w:rsidRPr="00E20D78" w:rsidRDefault="00EA33B1">
      <w:pPr>
        <w:pStyle w:val="EndnoteText"/>
        <w:rPr>
          <w:sz w:val="16"/>
          <w:szCs w:val="16"/>
        </w:rPr>
      </w:pPr>
      <w:r>
        <w:rPr>
          <w:rStyle w:val="EndnoteReference"/>
        </w:rPr>
        <w:endnoteRef/>
      </w:r>
      <w:r>
        <w:t xml:space="preserve"> </w:t>
      </w:r>
      <w:hyperlink r:id="rId12" w:history="1">
        <w:r w:rsidR="009F311C" w:rsidRPr="00AF0AAB">
          <w:rPr>
            <w:rStyle w:val="Hyperlink"/>
            <w:sz w:val="16"/>
            <w:szCs w:val="16"/>
          </w:rPr>
          <w:t>https://www.ihc.org.nz/news/disabled-students-5-000-times-more-likely-to-be-restrained-in-residential-specialist-schools</w:t>
        </w:r>
      </w:hyperlink>
      <w:r w:rsidR="009F311C">
        <w:rPr>
          <w:sz w:val="16"/>
          <w:szCs w:val="16"/>
        </w:rPr>
        <w:t xml:space="preserve"> </w:t>
      </w:r>
    </w:p>
  </w:endnote>
  <w:endnote w:id="32">
    <w:p w14:paraId="63439466" w14:textId="62378266" w:rsidR="00BE62E7" w:rsidRPr="00BE62E7" w:rsidRDefault="00BE62E7">
      <w:pPr>
        <w:pStyle w:val="EndnoteText"/>
        <w:rPr>
          <w:sz w:val="16"/>
          <w:szCs w:val="16"/>
        </w:rPr>
      </w:pPr>
      <w:r w:rsidRPr="00BE62E7">
        <w:rPr>
          <w:rStyle w:val="EndnoteReference"/>
          <w:sz w:val="16"/>
          <w:szCs w:val="16"/>
        </w:rPr>
        <w:endnoteRef/>
      </w:r>
      <w:r w:rsidRPr="00BE62E7">
        <w:rPr>
          <w:sz w:val="16"/>
          <w:szCs w:val="16"/>
        </w:rPr>
        <w:t xml:space="preserve"> Information provided by the Ministry of Education on 28 November 2022 and 27 April 2023 in response to </w:t>
      </w:r>
      <w:r w:rsidR="00E76A19" w:rsidRPr="00BE62E7">
        <w:rPr>
          <w:sz w:val="16"/>
          <w:szCs w:val="16"/>
        </w:rPr>
        <w:t>Official</w:t>
      </w:r>
      <w:r w:rsidRPr="00BE62E7">
        <w:rPr>
          <w:sz w:val="16"/>
          <w:szCs w:val="16"/>
        </w:rPr>
        <w:t xml:space="preserve"> Information Requests. </w:t>
      </w:r>
    </w:p>
  </w:endnote>
  <w:endnote w:id="33">
    <w:p w14:paraId="5687CDEC" w14:textId="4E7A6FC2" w:rsidR="00B9612E" w:rsidRPr="004866BB" w:rsidRDefault="00B9612E" w:rsidP="00B9612E">
      <w:pPr>
        <w:pStyle w:val="EndnoteText"/>
        <w:rPr>
          <w:sz w:val="16"/>
          <w:szCs w:val="16"/>
        </w:rPr>
      </w:pPr>
      <w:r>
        <w:rPr>
          <w:rStyle w:val="EndnoteReference"/>
        </w:rPr>
        <w:endnoteRef/>
      </w:r>
      <w:r>
        <w:t xml:space="preserve"> </w:t>
      </w:r>
      <w:r w:rsidR="004866BB" w:rsidRPr="004866BB">
        <w:rPr>
          <w:sz w:val="16"/>
          <w:szCs w:val="16"/>
        </w:rPr>
        <w:t xml:space="preserve">Committee on the Rights of Persons with disabilities; General Comment No.4 (2016) Article 24: Right to Inclusive Education   </w:t>
      </w:r>
      <w:r w:rsidR="00890738" w:rsidRPr="00EF60B0">
        <w:rPr>
          <w:sz w:val="16"/>
          <w:szCs w:val="16"/>
        </w:rPr>
        <w:t>CRPD/C/NZL/CO/2-3 26 September 2022</w:t>
      </w:r>
    </w:p>
  </w:endnote>
  <w:endnote w:id="34">
    <w:p w14:paraId="7A56E0AA" w14:textId="591716AE" w:rsidR="00E217C0" w:rsidRPr="009F311C" w:rsidRDefault="00E217C0">
      <w:pPr>
        <w:pStyle w:val="EndnoteText"/>
        <w:rPr>
          <w:sz w:val="16"/>
          <w:szCs w:val="16"/>
        </w:rPr>
      </w:pPr>
      <w:r>
        <w:rPr>
          <w:rStyle w:val="EndnoteReference"/>
        </w:rPr>
        <w:endnoteRef/>
      </w:r>
      <w:r>
        <w:t xml:space="preserve"> </w:t>
      </w:r>
      <w:r w:rsidRPr="009F311C">
        <w:rPr>
          <w:sz w:val="16"/>
          <w:szCs w:val="16"/>
        </w:rPr>
        <w:t xml:space="preserve">See para </w:t>
      </w:r>
      <w:r w:rsidR="009F311C" w:rsidRPr="009F311C">
        <w:rPr>
          <w:sz w:val="16"/>
          <w:szCs w:val="16"/>
        </w:rPr>
        <w:t xml:space="preserve">41.2 </w:t>
      </w:r>
      <w:hyperlink r:id="rId13" w:history="1">
        <w:r w:rsidR="009F311C" w:rsidRPr="00AF0AAB">
          <w:rPr>
            <w:rStyle w:val="Hyperlink"/>
            <w:sz w:val="16"/>
            <w:szCs w:val="16"/>
          </w:rPr>
          <w:t>https://www.whaikaha.govt.nz/assets/About-us/Cabinet-papers-and-information-releases/UNCRPD-cabinet-paper/Paper-United-Nations-Convention-on-the-Rights-of-Persons-with-Disabilities_-Government-Response-and-Proposed-Mechanisms-to-Support-Implementation.pdf</w:t>
        </w:r>
      </w:hyperlink>
      <w:r w:rsidR="009F311C">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173464"/>
      <w:docPartObj>
        <w:docPartGallery w:val="Page Numbers (Bottom of Page)"/>
        <w:docPartUnique/>
      </w:docPartObj>
    </w:sdtPr>
    <w:sdtEndPr>
      <w:rPr>
        <w:noProof/>
      </w:rPr>
    </w:sdtEndPr>
    <w:sdtContent>
      <w:p w14:paraId="14054BC3" w14:textId="2EC1A2FD" w:rsidR="000C3F8C" w:rsidRDefault="000C3F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6DB6A9" w14:textId="77777777" w:rsidR="000C3F8C" w:rsidRDefault="000C3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CE8E" w14:textId="46FBDC87" w:rsidR="00087A6D" w:rsidRPr="00087A6D" w:rsidRDefault="00087A6D" w:rsidP="00087A6D">
    <w:pPr>
      <w:pStyle w:val="Footer"/>
      <w:jc w:val="center"/>
      <w:rPr>
        <w:i/>
        <w:iCs/>
      </w:rPr>
    </w:pPr>
    <w:r w:rsidRPr="00087A6D">
      <w:rPr>
        <w:i/>
        <w:iCs/>
      </w:rPr>
      <w:t xml:space="preserve">4 Ross Street, Remuera, Auckland 1050, </w:t>
    </w:r>
    <w:r w:rsidR="00306FD1" w:rsidRPr="00087A6D">
      <w:rPr>
        <w:i/>
        <w:iCs/>
      </w:rPr>
      <w:t>PO Box 3705, Auckland 1140,</w:t>
    </w:r>
  </w:p>
  <w:p w14:paraId="1BFA4D0F" w14:textId="513FE4C2" w:rsidR="00306FD1" w:rsidRPr="00087A6D" w:rsidRDefault="00306FD1" w:rsidP="00087A6D">
    <w:pPr>
      <w:pStyle w:val="Footer"/>
      <w:jc w:val="center"/>
      <w:rPr>
        <w:i/>
        <w:iCs/>
      </w:rPr>
    </w:pPr>
    <w:r w:rsidRPr="00087A6D">
      <w:rPr>
        <w:i/>
        <w:iCs/>
      </w:rPr>
      <w:t>Telephone: +64 371485, www.ieag.org.nz</w:t>
    </w:r>
  </w:p>
  <w:p w14:paraId="0C3B2A68" w14:textId="77777777" w:rsidR="00CC580E" w:rsidRPr="00087A6D" w:rsidRDefault="00CC5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BA2" w14:textId="77777777" w:rsidR="00337653" w:rsidRDefault="00337653" w:rsidP="00506209">
      <w:pPr>
        <w:spacing w:after="0" w:line="240" w:lineRule="auto"/>
      </w:pPr>
      <w:r>
        <w:separator/>
      </w:r>
    </w:p>
  </w:footnote>
  <w:footnote w:type="continuationSeparator" w:id="0">
    <w:p w14:paraId="5162D352" w14:textId="77777777" w:rsidR="00337653" w:rsidRDefault="00337653" w:rsidP="00506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CDEE" w14:textId="406C5E7A" w:rsidR="00D34282" w:rsidRDefault="00D34282" w:rsidP="00D34282">
    <w:pPr>
      <w:pStyle w:val="Footer"/>
      <w:jc w:val="right"/>
      <w:rPr>
        <w:b/>
        <w:bCs/>
        <w:i/>
        <w:i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64FE" w14:textId="7EC6EC81" w:rsidR="00CC580E" w:rsidRDefault="00CC580E" w:rsidP="00CC580E">
    <w:pPr>
      <w:pStyle w:val="Header"/>
      <w:ind w:left="5760"/>
    </w:pPr>
    <w:r>
      <w:rPr>
        <w:noProof/>
        <w:lang w:eastAsia="en-NZ" w:bidi="ar-SA"/>
      </w:rPr>
      <w:drawing>
        <wp:inline distT="0" distB="0" distL="0" distR="0" wp14:anchorId="306C1BB5" wp14:editId="3E6FB88F">
          <wp:extent cx="2255520" cy="1203960"/>
          <wp:effectExtent l="19050" t="0" r="0" b="0"/>
          <wp:docPr id="1497451127" name="Picture 149745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2255520" cy="1203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7F2"/>
    <w:multiLevelType w:val="hybridMultilevel"/>
    <w:tmpl w:val="33280A04"/>
    <w:lvl w:ilvl="0" w:tplc="8E362B3A">
      <w:start w:val="1"/>
      <w:numFmt w:val="decimal"/>
      <w:lvlText w:val="%1."/>
      <w:lvlJc w:val="left"/>
      <w:pPr>
        <w:ind w:left="720" w:hanging="360"/>
      </w:pPr>
      <w:rPr>
        <w:rFonts w:asciiTheme="minorHAnsi" w:eastAsiaTheme="minorHAnsi" w:hAnsiTheme="minorHAnsi" w:cstheme="minorBidi"/>
        <w:b w:val="0"/>
        <w:bCs w:val="0"/>
        <w:i w:val="0"/>
        <w:iCs w:val="0"/>
        <w:color w:val="auto"/>
        <w:sz w:val="22"/>
        <w:szCs w:val="22"/>
        <w:vertAlign w:val="baseline"/>
      </w:rPr>
    </w:lvl>
    <w:lvl w:ilvl="1" w:tplc="14090019">
      <w:start w:val="1"/>
      <w:numFmt w:val="lowerLetter"/>
      <w:lvlText w:val="%2."/>
      <w:lvlJc w:val="left"/>
      <w:pPr>
        <w:ind w:left="1440" w:hanging="360"/>
      </w:p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3371B0F"/>
    <w:multiLevelType w:val="multilevel"/>
    <w:tmpl w:val="C960ECA2"/>
    <w:lvl w:ilvl="0">
      <w:start w:val="1"/>
      <w:numFmt w:val="upperRoman"/>
      <w:lvlText w:val="%1."/>
      <w:lvlJc w:val="righ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AB57BE"/>
    <w:multiLevelType w:val="multilevel"/>
    <w:tmpl w:val="C220CE26"/>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D157FA8"/>
    <w:multiLevelType w:val="hybridMultilevel"/>
    <w:tmpl w:val="CA8CD54E"/>
    <w:lvl w:ilvl="0" w:tplc="23549006">
      <w:start w:val="1"/>
      <w:numFmt w:val="decimal"/>
      <w:lvlText w:val="%1."/>
      <w:lvlJc w:val="left"/>
      <w:pPr>
        <w:ind w:left="360" w:hanging="360"/>
      </w:pPr>
      <w:rPr>
        <w:b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12A3BD6"/>
    <w:multiLevelType w:val="multilevel"/>
    <w:tmpl w:val="61A45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0C2D0F"/>
    <w:multiLevelType w:val="hybridMultilevel"/>
    <w:tmpl w:val="01E29972"/>
    <w:lvl w:ilvl="0" w:tplc="9C84042E">
      <w:start w:val="1"/>
      <w:numFmt w:val="decimal"/>
      <w:lvlText w:val="%1."/>
      <w:lvlJc w:val="left"/>
      <w:pPr>
        <w:ind w:left="360" w:hanging="360"/>
      </w:pPr>
      <w:rPr>
        <w:sz w:val="24"/>
        <w:szCs w:val="24"/>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61BC22DA"/>
    <w:multiLevelType w:val="multilevel"/>
    <w:tmpl w:val="877E79B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C009FA"/>
    <w:multiLevelType w:val="hybridMultilevel"/>
    <w:tmpl w:val="8B9C6052"/>
    <w:lvl w:ilvl="0" w:tplc="9D041532">
      <w:start w:val="1"/>
      <w:numFmt w:val="decimal"/>
      <w:pStyle w:val="BodyText"/>
      <w:lvlText w:val="%1."/>
      <w:lvlJc w:val="left"/>
      <w:pPr>
        <w:ind w:left="720" w:hanging="360"/>
      </w:pPr>
      <w:rPr>
        <w:b w:val="0"/>
        <w:bCs w:val="0"/>
        <w:i w:val="0"/>
        <w:iCs w:val="0"/>
        <w:sz w:val="22"/>
        <w:szCs w:val="28"/>
      </w:rPr>
    </w:lvl>
    <w:lvl w:ilvl="1" w:tplc="60064276">
      <w:start w:val="1"/>
      <w:numFmt w:val="lowerLetter"/>
      <w:lvlText w:val="%2."/>
      <w:lvlJc w:val="left"/>
      <w:pPr>
        <w:ind w:left="-2312" w:hanging="360"/>
      </w:pPr>
      <w:rPr>
        <w:b w:val="0"/>
        <w:bCs w:val="0"/>
        <w:i w:val="0"/>
        <w:iCs w:val="0"/>
      </w:rPr>
    </w:lvl>
    <w:lvl w:ilvl="2" w:tplc="1409001B">
      <w:start w:val="1"/>
      <w:numFmt w:val="lowerRoman"/>
      <w:lvlText w:val="%3."/>
      <w:lvlJc w:val="right"/>
      <w:pPr>
        <w:ind w:left="-1592" w:hanging="180"/>
      </w:pPr>
    </w:lvl>
    <w:lvl w:ilvl="3" w:tplc="1409000F">
      <w:start w:val="1"/>
      <w:numFmt w:val="decimal"/>
      <w:lvlText w:val="%4."/>
      <w:lvlJc w:val="left"/>
      <w:pPr>
        <w:ind w:left="-872" w:hanging="360"/>
      </w:pPr>
    </w:lvl>
    <w:lvl w:ilvl="4" w:tplc="14090019">
      <w:start w:val="1"/>
      <w:numFmt w:val="lowerLetter"/>
      <w:lvlText w:val="%5."/>
      <w:lvlJc w:val="left"/>
      <w:pPr>
        <w:ind w:left="-152" w:hanging="360"/>
      </w:pPr>
    </w:lvl>
    <w:lvl w:ilvl="5" w:tplc="1409001B">
      <w:start w:val="1"/>
      <w:numFmt w:val="lowerRoman"/>
      <w:lvlText w:val="%6."/>
      <w:lvlJc w:val="right"/>
      <w:pPr>
        <w:ind w:left="568" w:hanging="180"/>
      </w:pPr>
    </w:lvl>
    <w:lvl w:ilvl="6" w:tplc="1409000F">
      <w:start w:val="1"/>
      <w:numFmt w:val="decimal"/>
      <w:lvlText w:val="%7."/>
      <w:lvlJc w:val="left"/>
      <w:pPr>
        <w:ind w:left="1288" w:hanging="360"/>
      </w:pPr>
    </w:lvl>
    <w:lvl w:ilvl="7" w:tplc="14090019">
      <w:start w:val="1"/>
      <w:numFmt w:val="lowerLetter"/>
      <w:lvlText w:val="%8."/>
      <w:lvlJc w:val="left"/>
      <w:pPr>
        <w:ind w:left="2008" w:hanging="360"/>
      </w:pPr>
    </w:lvl>
    <w:lvl w:ilvl="8" w:tplc="1409001B">
      <w:start w:val="1"/>
      <w:numFmt w:val="lowerRoman"/>
      <w:lvlText w:val="%9."/>
      <w:lvlJc w:val="right"/>
      <w:pPr>
        <w:ind w:left="2728" w:hanging="180"/>
      </w:pPr>
    </w:lvl>
  </w:abstractNum>
  <w:abstractNum w:abstractNumId="8" w15:restartNumberingAfterBreak="0">
    <w:nsid w:val="73182677"/>
    <w:multiLevelType w:val="hybridMultilevel"/>
    <w:tmpl w:val="6DA82FD0"/>
    <w:lvl w:ilvl="0" w:tplc="14090001">
      <w:start w:val="1"/>
      <w:numFmt w:val="bullet"/>
      <w:lvlText w:val=""/>
      <w:lvlJc w:val="left"/>
      <w:pPr>
        <w:ind w:left="1080" w:hanging="360"/>
      </w:pPr>
      <w:rPr>
        <w:rFonts w:ascii="Symbol" w:hAnsi="Symbol" w:hint="default"/>
      </w:rPr>
    </w:lvl>
    <w:lvl w:ilvl="1" w:tplc="14090001">
      <w:start w:val="1"/>
      <w:numFmt w:val="bullet"/>
      <w:lvlText w:val=""/>
      <w:lvlJc w:val="left"/>
      <w:pPr>
        <w:ind w:left="1800" w:hanging="360"/>
      </w:pPr>
      <w:rPr>
        <w:rFonts w:ascii="Symbol" w:hAnsi="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73CF0F73"/>
    <w:multiLevelType w:val="hybridMultilevel"/>
    <w:tmpl w:val="0BE0FB4A"/>
    <w:lvl w:ilvl="0" w:tplc="14090001">
      <w:start w:val="1"/>
      <w:numFmt w:val="bullet"/>
      <w:lvlText w:val=""/>
      <w:lvlJc w:val="left"/>
      <w:pPr>
        <w:ind w:left="1245" w:hanging="360"/>
      </w:pPr>
      <w:rPr>
        <w:rFonts w:ascii="Symbol" w:hAnsi="Symbol" w:hint="default"/>
      </w:rPr>
    </w:lvl>
    <w:lvl w:ilvl="1" w:tplc="FFFFFFFF" w:tentative="1">
      <w:start w:val="1"/>
      <w:numFmt w:val="lowerLetter"/>
      <w:lvlText w:val="%2."/>
      <w:lvlJc w:val="left"/>
      <w:pPr>
        <w:ind w:left="1965" w:hanging="360"/>
      </w:pPr>
    </w:lvl>
    <w:lvl w:ilvl="2" w:tplc="FFFFFFFF" w:tentative="1">
      <w:start w:val="1"/>
      <w:numFmt w:val="lowerRoman"/>
      <w:lvlText w:val="%3."/>
      <w:lvlJc w:val="right"/>
      <w:pPr>
        <w:ind w:left="2685" w:hanging="180"/>
      </w:pPr>
    </w:lvl>
    <w:lvl w:ilvl="3" w:tplc="FFFFFFFF" w:tentative="1">
      <w:start w:val="1"/>
      <w:numFmt w:val="decimal"/>
      <w:lvlText w:val="%4."/>
      <w:lvlJc w:val="left"/>
      <w:pPr>
        <w:ind w:left="3405" w:hanging="360"/>
      </w:pPr>
    </w:lvl>
    <w:lvl w:ilvl="4" w:tplc="FFFFFFFF" w:tentative="1">
      <w:start w:val="1"/>
      <w:numFmt w:val="lowerLetter"/>
      <w:lvlText w:val="%5."/>
      <w:lvlJc w:val="left"/>
      <w:pPr>
        <w:ind w:left="4125" w:hanging="360"/>
      </w:pPr>
    </w:lvl>
    <w:lvl w:ilvl="5" w:tplc="FFFFFFFF" w:tentative="1">
      <w:start w:val="1"/>
      <w:numFmt w:val="lowerRoman"/>
      <w:lvlText w:val="%6."/>
      <w:lvlJc w:val="right"/>
      <w:pPr>
        <w:ind w:left="4845" w:hanging="180"/>
      </w:pPr>
    </w:lvl>
    <w:lvl w:ilvl="6" w:tplc="FFFFFFFF" w:tentative="1">
      <w:start w:val="1"/>
      <w:numFmt w:val="decimal"/>
      <w:lvlText w:val="%7."/>
      <w:lvlJc w:val="left"/>
      <w:pPr>
        <w:ind w:left="5565" w:hanging="360"/>
      </w:pPr>
    </w:lvl>
    <w:lvl w:ilvl="7" w:tplc="FFFFFFFF" w:tentative="1">
      <w:start w:val="1"/>
      <w:numFmt w:val="lowerLetter"/>
      <w:lvlText w:val="%8."/>
      <w:lvlJc w:val="left"/>
      <w:pPr>
        <w:ind w:left="6285" w:hanging="360"/>
      </w:pPr>
    </w:lvl>
    <w:lvl w:ilvl="8" w:tplc="FFFFFFFF" w:tentative="1">
      <w:start w:val="1"/>
      <w:numFmt w:val="lowerRoman"/>
      <w:lvlText w:val="%9."/>
      <w:lvlJc w:val="right"/>
      <w:pPr>
        <w:ind w:left="7005" w:hanging="180"/>
      </w:pPr>
    </w:lvl>
  </w:abstractNum>
  <w:abstractNum w:abstractNumId="10" w15:restartNumberingAfterBreak="0">
    <w:nsid w:val="7A090EE1"/>
    <w:multiLevelType w:val="multilevel"/>
    <w:tmpl w:val="12468DAE"/>
    <w:lvl w:ilvl="0">
      <w:start w:val="3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2534E8"/>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007D8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20349789">
    <w:abstractNumId w:val="4"/>
  </w:num>
  <w:num w:numId="2" w16cid:durableId="40137828">
    <w:abstractNumId w:val="11"/>
  </w:num>
  <w:num w:numId="3" w16cid:durableId="732121895">
    <w:abstractNumId w:val="5"/>
  </w:num>
  <w:num w:numId="4" w16cid:durableId="1199659629">
    <w:abstractNumId w:val="6"/>
  </w:num>
  <w:num w:numId="5" w16cid:durableId="2080252452">
    <w:abstractNumId w:val="12"/>
  </w:num>
  <w:num w:numId="6" w16cid:durableId="504975667">
    <w:abstractNumId w:val="10"/>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0206759">
    <w:abstractNumId w:val="8"/>
  </w:num>
  <w:num w:numId="8" w16cid:durableId="23403671">
    <w:abstractNumId w:val="3"/>
  </w:num>
  <w:num w:numId="9" w16cid:durableId="15517695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436090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966275252">
    <w:abstractNumId w:val="0"/>
  </w:num>
  <w:num w:numId="12" w16cid:durableId="303198817">
    <w:abstractNumId w:val="2"/>
  </w:num>
  <w:num w:numId="13" w16cid:durableId="1744834474">
    <w:abstractNumId w:val="9"/>
  </w:num>
  <w:num w:numId="14" w16cid:durableId="1259486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09"/>
    <w:rsid w:val="00007905"/>
    <w:rsid w:val="00034005"/>
    <w:rsid w:val="000413F8"/>
    <w:rsid w:val="00041CAA"/>
    <w:rsid w:val="00072488"/>
    <w:rsid w:val="00081085"/>
    <w:rsid w:val="00081300"/>
    <w:rsid w:val="00084FDB"/>
    <w:rsid w:val="00087A6D"/>
    <w:rsid w:val="0009058F"/>
    <w:rsid w:val="0009390A"/>
    <w:rsid w:val="0009409D"/>
    <w:rsid w:val="0009653B"/>
    <w:rsid w:val="000C3F8C"/>
    <w:rsid w:val="000D0ED9"/>
    <w:rsid w:val="000D2711"/>
    <w:rsid w:val="000D637B"/>
    <w:rsid w:val="000F6135"/>
    <w:rsid w:val="00107229"/>
    <w:rsid w:val="00123D01"/>
    <w:rsid w:val="00181DF5"/>
    <w:rsid w:val="001963D5"/>
    <w:rsid w:val="001A0AF0"/>
    <w:rsid w:val="001A4CBC"/>
    <w:rsid w:val="001B002F"/>
    <w:rsid w:val="001B1604"/>
    <w:rsid w:val="001D3974"/>
    <w:rsid w:val="001D5A7E"/>
    <w:rsid w:val="001D7DA7"/>
    <w:rsid w:val="002131B2"/>
    <w:rsid w:val="00217504"/>
    <w:rsid w:val="0022779E"/>
    <w:rsid w:val="00232F7E"/>
    <w:rsid w:val="00237205"/>
    <w:rsid w:val="00241343"/>
    <w:rsid w:val="00247676"/>
    <w:rsid w:val="00247934"/>
    <w:rsid w:val="00255570"/>
    <w:rsid w:val="00257226"/>
    <w:rsid w:val="0026366A"/>
    <w:rsid w:val="002A1F9D"/>
    <w:rsid w:val="002A40B2"/>
    <w:rsid w:val="002A549D"/>
    <w:rsid w:val="002B6483"/>
    <w:rsid w:val="002D6C90"/>
    <w:rsid w:val="00306FD1"/>
    <w:rsid w:val="003303C8"/>
    <w:rsid w:val="00337653"/>
    <w:rsid w:val="00347784"/>
    <w:rsid w:val="00350463"/>
    <w:rsid w:val="00356C2D"/>
    <w:rsid w:val="00360F4F"/>
    <w:rsid w:val="00390BEF"/>
    <w:rsid w:val="00397D40"/>
    <w:rsid w:val="003B16D8"/>
    <w:rsid w:val="003B37F6"/>
    <w:rsid w:val="003C6B16"/>
    <w:rsid w:val="003D1385"/>
    <w:rsid w:val="003E03C8"/>
    <w:rsid w:val="003F25BC"/>
    <w:rsid w:val="003F59B3"/>
    <w:rsid w:val="00400251"/>
    <w:rsid w:val="00421CFE"/>
    <w:rsid w:val="00461652"/>
    <w:rsid w:val="00462CF8"/>
    <w:rsid w:val="00475701"/>
    <w:rsid w:val="004866BB"/>
    <w:rsid w:val="004964F8"/>
    <w:rsid w:val="004A6638"/>
    <w:rsid w:val="004B7EEF"/>
    <w:rsid w:val="004E64A0"/>
    <w:rsid w:val="00504749"/>
    <w:rsid w:val="00504772"/>
    <w:rsid w:val="00506209"/>
    <w:rsid w:val="00507641"/>
    <w:rsid w:val="0051183A"/>
    <w:rsid w:val="00512D28"/>
    <w:rsid w:val="00517482"/>
    <w:rsid w:val="00522B89"/>
    <w:rsid w:val="005265D7"/>
    <w:rsid w:val="00531572"/>
    <w:rsid w:val="00547758"/>
    <w:rsid w:val="00551742"/>
    <w:rsid w:val="00557A5C"/>
    <w:rsid w:val="005660B2"/>
    <w:rsid w:val="0057592C"/>
    <w:rsid w:val="005777B2"/>
    <w:rsid w:val="00591F08"/>
    <w:rsid w:val="005A1063"/>
    <w:rsid w:val="005A2C0B"/>
    <w:rsid w:val="005B672E"/>
    <w:rsid w:val="005B6BC2"/>
    <w:rsid w:val="005C63FD"/>
    <w:rsid w:val="005D34FF"/>
    <w:rsid w:val="005D3FF1"/>
    <w:rsid w:val="005E6704"/>
    <w:rsid w:val="005F6F23"/>
    <w:rsid w:val="00603919"/>
    <w:rsid w:val="00605245"/>
    <w:rsid w:val="00624DEF"/>
    <w:rsid w:val="00627BF8"/>
    <w:rsid w:val="00633401"/>
    <w:rsid w:val="00643784"/>
    <w:rsid w:val="00651F7E"/>
    <w:rsid w:val="00654EB7"/>
    <w:rsid w:val="0066064E"/>
    <w:rsid w:val="006800F2"/>
    <w:rsid w:val="00684D00"/>
    <w:rsid w:val="00687C02"/>
    <w:rsid w:val="006938EB"/>
    <w:rsid w:val="006B2885"/>
    <w:rsid w:val="006C4BBA"/>
    <w:rsid w:val="006D63C4"/>
    <w:rsid w:val="006E2909"/>
    <w:rsid w:val="00720FCA"/>
    <w:rsid w:val="0073264A"/>
    <w:rsid w:val="00737F92"/>
    <w:rsid w:val="00741489"/>
    <w:rsid w:val="0075397A"/>
    <w:rsid w:val="0077511F"/>
    <w:rsid w:val="00777DF6"/>
    <w:rsid w:val="00785732"/>
    <w:rsid w:val="007863D6"/>
    <w:rsid w:val="007954EC"/>
    <w:rsid w:val="007B239B"/>
    <w:rsid w:val="007D5571"/>
    <w:rsid w:val="007E263F"/>
    <w:rsid w:val="007E36FF"/>
    <w:rsid w:val="0081104B"/>
    <w:rsid w:val="00813D87"/>
    <w:rsid w:val="00823F73"/>
    <w:rsid w:val="008460E0"/>
    <w:rsid w:val="008528B9"/>
    <w:rsid w:val="00854D07"/>
    <w:rsid w:val="00856BFD"/>
    <w:rsid w:val="008630BE"/>
    <w:rsid w:val="008663C2"/>
    <w:rsid w:val="008717B0"/>
    <w:rsid w:val="00880CBD"/>
    <w:rsid w:val="00890738"/>
    <w:rsid w:val="0089268F"/>
    <w:rsid w:val="008A6EF7"/>
    <w:rsid w:val="008A74D0"/>
    <w:rsid w:val="008B0517"/>
    <w:rsid w:val="008B30E5"/>
    <w:rsid w:val="008C5554"/>
    <w:rsid w:val="008E706C"/>
    <w:rsid w:val="008F6573"/>
    <w:rsid w:val="00912652"/>
    <w:rsid w:val="009144C6"/>
    <w:rsid w:val="00923536"/>
    <w:rsid w:val="00930FD1"/>
    <w:rsid w:val="00937D01"/>
    <w:rsid w:val="00951392"/>
    <w:rsid w:val="00951AC4"/>
    <w:rsid w:val="0096004C"/>
    <w:rsid w:val="00975B60"/>
    <w:rsid w:val="009774A4"/>
    <w:rsid w:val="009B213E"/>
    <w:rsid w:val="009B36DA"/>
    <w:rsid w:val="009B6C70"/>
    <w:rsid w:val="009D4BD1"/>
    <w:rsid w:val="009E225A"/>
    <w:rsid w:val="009F1118"/>
    <w:rsid w:val="009F311C"/>
    <w:rsid w:val="009F49A3"/>
    <w:rsid w:val="00A04758"/>
    <w:rsid w:val="00A05325"/>
    <w:rsid w:val="00A242F4"/>
    <w:rsid w:val="00A2553F"/>
    <w:rsid w:val="00A32246"/>
    <w:rsid w:val="00A32B1C"/>
    <w:rsid w:val="00A34E90"/>
    <w:rsid w:val="00A60B67"/>
    <w:rsid w:val="00A741DC"/>
    <w:rsid w:val="00AA0E47"/>
    <w:rsid w:val="00AB05BE"/>
    <w:rsid w:val="00AB38B7"/>
    <w:rsid w:val="00AC458A"/>
    <w:rsid w:val="00AE4B34"/>
    <w:rsid w:val="00B203E9"/>
    <w:rsid w:val="00B22E52"/>
    <w:rsid w:val="00B26D9E"/>
    <w:rsid w:val="00B750BF"/>
    <w:rsid w:val="00B9612E"/>
    <w:rsid w:val="00B96CF7"/>
    <w:rsid w:val="00BA52D8"/>
    <w:rsid w:val="00BA7F19"/>
    <w:rsid w:val="00BB5A72"/>
    <w:rsid w:val="00BC6C1A"/>
    <w:rsid w:val="00BD6AF7"/>
    <w:rsid w:val="00BE0DAB"/>
    <w:rsid w:val="00BE62E7"/>
    <w:rsid w:val="00C10F51"/>
    <w:rsid w:val="00C25A99"/>
    <w:rsid w:val="00C2741F"/>
    <w:rsid w:val="00C3076C"/>
    <w:rsid w:val="00C40723"/>
    <w:rsid w:val="00C53AF1"/>
    <w:rsid w:val="00C56993"/>
    <w:rsid w:val="00C62F91"/>
    <w:rsid w:val="00C674D9"/>
    <w:rsid w:val="00C8250C"/>
    <w:rsid w:val="00C82F24"/>
    <w:rsid w:val="00CB3258"/>
    <w:rsid w:val="00CC1919"/>
    <w:rsid w:val="00CC580E"/>
    <w:rsid w:val="00CD1925"/>
    <w:rsid w:val="00CE2C49"/>
    <w:rsid w:val="00CE3357"/>
    <w:rsid w:val="00CF1D30"/>
    <w:rsid w:val="00CF6EDF"/>
    <w:rsid w:val="00D1450E"/>
    <w:rsid w:val="00D21FBF"/>
    <w:rsid w:val="00D22FBD"/>
    <w:rsid w:val="00D247A9"/>
    <w:rsid w:val="00D34282"/>
    <w:rsid w:val="00D72A13"/>
    <w:rsid w:val="00D840A0"/>
    <w:rsid w:val="00D90129"/>
    <w:rsid w:val="00DA78AD"/>
    <w:rsid w:val="00DB1E46"/>
    <w:rsid w:val="00DD2E75"/>
    <w:rsid w:val="00DE4E43"/>
    <w:rsid w:val="00DE6E7C"/>
    <w:rsid w:val="00E03922"/>
    <w:rsid w:val="00E133A0"/>
    <w:rsid w:val="00E20D78"/>
    <w:rsid w:val="00E217C0"/>
    <w:rsid w:val="00E5686F"/>
    <w:rsid w:val="00E57E0C"/>
    <w:rsid w:val="00E70E1E"/>
    <w:rsid w:val="00E76A19"/>
    <w:rsid w:val="00E77BE3"/>
    <w:rsid w:val="00E90480"/>
    <w:rsid w:val="00E91EA5"/>
    <w:rsid w:val="00E95174"/>
    <w:rsid w:val="00EA2AA7"/>
    <w:rsid w:val="00EA33B1"/>
    <w:rsid w:val="00EB6536"/>
    <w:rsid w:val="00ED2668"/>
    <w:rsid w:val="00ED4925"/>
    <w:rsid w:val="00EF02D4"/>
    <w:rsid w:val="00EF59E8"/>
    <w:rsid w:val="00EF60B0"/>
    <w:rsid w:val="00F03921"/>
    <w:rsid w:val="00F06F31"/>
    <w:rsid w:val="00F15146"/>
    <w:rsid w:val="00F202CA"/>
    <w:rsid w:val="00F23AA2"/>
    <w:rsid w:val="00F319EC"/>
    <w:rsid w:val="00F43A4D"/>
    <w:rsid w:val="00F50305"/>
    <w:rsid w:val="00F517B2"/>
    <w:rsid w:val="00F61248"/>
    <w:rsid w:val="00F74DE7"/>
    <w:rsid w:val="00F813E6"/>
    <w:rsid w:val="00FA3FB0"/>
    <w:rsid w:val="00FB06B2"/>
    <w:rsid w:val="00FC6D54"/>
    <w:rsid w:val="00FE1597"/>
  </w:rsids>
  <m:mathPr>
    <m:mathFont m:val="Cambria Math"/>
    <m:brkBin m:val="before"/>
    <m:brkBinSub m:val="--"/>
    <m:smallFrac m:val="0"/>
    <m:dispDef/>
    <m:lMargin m:val="0"/>
    <m:rMargin m:val="0"/>
    <m:defJc m:val="centerGroup"/>
    <m:wrapIndent m:val="1440"/>
    <m:intLim m:val="subSup"/>
    <m:naryLim m:val="undOvr"/>
  </m:mathPr>
  <w:themeFontLang w:val="en-NZ"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2D742"/>
  <w15:docId w15:val="{5E5463E4-8514-48E3-831C-B6D3D67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NZ" w:eastAsia="en-NZ"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7" w:unhideWhenUsed="1"/>
    <w:lsdException w:name="endnote text" w:semiHidden="1" w:uiPriority="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9D"/>
    <w:pPr>
      <w:spacing w:after="200" w:line="276" w:lineRule="auto"/>
    </w:pPr>
    <w:rPr>
      <w:sz w:val="22"/>
      <w:szCs w:val="22"/>
      <w:lang w:eastAsia="en-US"/>
    </w:rPr>
  </w:style>
  <w:style w:type="paragraph" w:styleId="Heading1">
    <w:name w:val="heading 1"/>
    <w:basedOn w:val="Normal"/>
    <w:next w:val="Normal"/>
    <w:link w:val="Heading1Char"/>
    <w:uiPriority w:val="9"/>
    <w:qFormat/>
    <w:rsid w:val="00E217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A242F4"/>
    <w:pPr>
      <w:spacing w:before="100" w:beforeAutospacing="1" w:after="100" w:afterAutospacing="1" w:line="240" w:lineRule="auto"/>
      <w:outlineLvl w:val="2"/>
    </w:pPr>
    <w:rPr>
      <w:rFonts w:ascii="Times New Roman" w:eastAsia="Times New Roman" w:hAnsi="Times New Roman" w:cs="Times New Roman"/>
      <w:b/>
      <w:bCs/>
      <w:sz w:val="27"/>
      <w:szCs w:val="27"/>
      <w:lang w:eastAsia="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09"/>
    <w:rPr>
      <w:rFonts w:ascii="Tahoma" w:hAnsi="Tahoma" w:cs="Tahoma"/>
      <w:sz w:val="16"/>
      <w:szCs w:val="16"/>
    </w:rPr>
  </w:style>
  <w:style w:type="paragraph" w:styleId="Header">
    <w:name w:val="header"/>
    <w:basedOn w:val="Normal"/>
    <w:link w:val="HeaderChar"/>
    <w:uiPriority w:val="99"/>
    <w:unhideWhenUsed/>
    <w:rsid w:val="00506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209"/>
  </w:style>
  <w:style w:type="paragraph" w:styleId="Footer">
    <w:name w:val="footer"/>
    <w:basedOn w:val="Normal"/>
    <w:link w:val="FooterChar"/>
    <w:uiPriority w:val="99"/>
    <w:unhideWhenUsed/>
    <w:rsid w:val="00506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209"/>
  </w:style>
  <w:style w:type="character" w:styleId="Hyperlink">
    <w:name w:val="Hyperlink"/>
    <w:basedOn w:val="DefaultParagraphFont"/>
    <w:uiPriority w:val="99"/>
    <w:unhideWhenUsed/>
    <w:rsid w:val="00506209"/>
    <w:rPr>
      <w:color w:val="0000FF"/>
      <w:u w:val="single"/>
    </w:rPr>
  </w:style>
  <w:style w:type="character" w:customStyle="1" w:styleId="Heading3Char">
    <w:name w:val="Heading 3 Char"/>
    <w:basedOn w:val="DefaultParagraphFont"/>
    <w:link w:val="Heading3"/>
    <w:uiPriority w:val="9"/>
    <w:rsid w:val="00A242F4"/>
    <w:rPr>
      <w:rFonts w:ascii="Times New Roman" w:eastAsia="Times New Roman" w:hAnsi="Times New Roman" w:cs="Times New Roman"/>
      <w:b/>
      <w:bCs/>
      <w:sz w:val="27"/>
      <w:szCs w:val="27"/>
      <w:lang w:bidi="ar-SA"/>
    </w:rPr>
  </w:style>
  <w:style w:type="character" w:customStyle="1" w:styleId="background-details">
    <w:name w:val="background-details"/>
    <w:basedOn w:val="DefaultParagraphFont"/>
    <w:rsid w:val="00A242F4"/>
  </w:style>
  <w:style w:type="paragraph" w:customStyle="1" w:styleId="visually-hidden">
    <w:name w:val="visually-hidden"/>
    <w:basedOn w:val="Normal"/>
    <w:rsid w:val="00A242F4"/>
    <w:pPr>
      <w:spacing w:before="100" w:beforeAutospacing="1" w:after="100" w:afterAutospacing="1" w:line="240" w:lineRule="auto"/>
    </w:pPr>
    <w:rPr>
      <w:rFonts w:ascii="Times New Roman" w:eastAsia="Times New Roman" w:hAnsi="Times New Roman" w:cs="Times New Roman"/>
      <w:sz w:val="24"/>
      <w:szCs w:val="24"/>
      <w:lang w:eastAsia="en-NZ" w:bidi="ar-SA"/>
    </w:rPr>
  </w:style>
  <w:style w:type="paragraph" w:customStyle="1" w:styleId="pv-entitysecondary-title">
    <w:name w:val="pv-entity__secondary-title"/>
    <w:basedOn w:val="Normal"/>
    <w:rsid w:val="00A242F4"/>
    <w:pPr>
      <w:spacing w:before="100" w:beforeAutospacing="1" w:after="100" w:afterAutospacing="1" w:line="240" w:lineRule="auto"/>
    </w:pPr>
    <w:rPr>
      <w:rFonts w:ascii="Times New Roman" w:eastAsia="Times New Roman" w:hAnsi="Times New Roman" w:cs="Times New Roman"/>
      <w:sz w:val="24"/>
      <w:szCs w:val="24"/>
      <w:lang w:eastAsia="en-NZ" w:bidi="ar-SA"/>
    </w:rPr>
  </w:style>
  <w:style w:type="paragraph" w:customStyle="1" w:styleId="pv-entitydescription">
    <w:name w:val="pv-entity__description"/>
    <w:basedOn w:val="Normal"/>
    <w:rsid w:val="00A242F4"/>
    <w:pPr>
      <w:spacing w:before="100" w:beforeAutospacing="1" w:after="100" w:afterAutospacing="1" w:line="240" w:lineRule="auto"/>
    </w:pPr>
    <w:rPr>
      <w:rFonts w:ascii="Times New Roman" w:eastAsia="Times New Roman" w:hAnsi="Times New Roman" w:cs="Times New Roman"/>
      <w:sz w:val="24"/>
      <w:szCs w:val="24"/>
      <w:lang w:eastAsia="en-NZ" w:bidi="ar-SA"/>
    </w:rPr>
  </w:style>
  <w:style w:type="character" w:styleId="UnresolvedMention">
    <w:name w:val="Unresolved Mention"/>
    <w:basedOn w:val="DefaultParagraphFont"/>
    <w:uiPriority w:val="99"/>
    <w:semiHidden/>
    <w:unhideWhenUsed/>
    <w:rsid w:val="00C62F91"/>
    <w:rPr>
      <w:color w:val="605E5C"/>
      <w:shd w:val="clear" w:color="auto" w:fill="E1DFDD"/>
    </w:rPr>
  </w:style>
  <w:style w:type="paragraph" w:styleId="ListParagraph">
    <w:name w:val="List Paragraph"/>
    <w:aliases w:val="List Paragraph numbered,List Bullet indent,Key msg,budget,additional,Rec para,List Paragraph1,Recommendation,List Paragraph11,graph,Level 3,Bullet List,FooterText,numbered,Paragraphe de liste1,Bulletr List Paragraph,列出段落,列出段落1,????,????1"/>
    <w:basedOn w:val="Normal"/>
    <w:link w:val="ListParagraphChar"/>
    <w:uiPriority w:val="34"/>
    <w:qFormat/>
    <w:rsid w:val="00624DEF"/>
    <w:pPr>
      <w:ind w:left="720"/>
      <w:contextualSpacing/>
    </w:pPr>
  </w:style>
  <w:style w:type="paragraph" w:customStyle="1" w:styleId="Default">
    <w:name w:val="Default"/>
    <w:rsid w:val="00F813E6"/>
    <w:pPr>
      <w:autoSpaceDE w:val="0"/>
      <w:autoSpaceDN w:val="0"/>
      <w:adjustRightInd w:val="0"/>
    </w:pPr>
    <w:rPr>
      <w:rFonts w:cs="Calibri"/>
      <w:color w:val="000000"/>
      <w:sz w:val="24"/>
      <w:szCs w:val="24"/>
      <w:lang w:bidi="ar-SA"/>
    </w:rPr>
  </w:style>
  <w:style w:type="paragraph" w:styleId="NoSpacing">
    <w:name w:val="No Spacing"/>
    <w:uiPriority w:val="1"/>
    <w:qFormat/>
    <w:rsid w:val="00F813E6"/>
    <w:rPr>
      <w:sz w:val="22"/>
      <w:szCs w:val="22"/>
      <w:lang w:eastAsia="en-US"/>
    </w:rPr>
  </w:style>
  <w:style w:type="paragraph" w:styleId="EndnoteText">
    <w:name w:val="endnote text"/>
    <w:basedOn w:val="Normal"/>
    <w:link w:val="EndnoteTextChar"/>
    <w:uiPriority w:val="7"/>
    <w:semiHidden/>
    <w:unhideWhenUsed/>
    <w:rsid w:val="00A34E90"/>
    <w:pPr>
      <w:spacing w:after="0" w:line="240" w:lineRule="auto"/>
    </w:pPr>
    <w:rPr>
      <w:sz w:val="20"/>
      <w:szCs w:val="20"/>
    </w:rPr>
  </w:style>
  <w:style w:type="character" w:customStyle="1" w:styleId="EndnoteTextChar">
    <w:name w:val="Endnote Text Char"/>
    <w:basedOn w:val="DefaultParagraphFont"/>
    <w:link w:val="EndnoteText"/>
    <w:uiPriority w:val="7"/>
    <w:semiHidden/>
    <w:rsid w:val="00A34E90"/>
    <w:rPr>
      <w:lang w:eastAsia="en-US"/>
    </w:rPr>
  </w:style>
  <w:style w:type="character" w:styleId="EndnoteReference">
    <w:name w:val="endnote reference"/>
    <w:basedOn w:val="DefaultParagraphFont"/>
    <w:uiPriority w:val="7"/>
    <w:semiHidden/>
    <w:unhideWhenUsed/>
    <w:rsid w:val="00A34E90"/>
    <w:rPr>
      <w:vertAlign w:val="superscript"/>
    </w:rPr>
  </w:style>
  <w:style w:type="paragraph" w:customStyle="1" w:styleId="paragraph">
    <w:name w:val="paragraph"/>
    <w:basedOn w:val="Normal"/>
    <w:rsid w:val="002A40B2"/>
    <w:pPr>
      <w:spacing w:before="100" w:beforeAutospacing="1" w:after="100" w:afterAutospacing="1" w:line="240" w:lineRule="auto"/>
    </w:pPr>
    <w:rPr>
      <w:rFonts w:eastAsiaTheme="minorEastAsia" w:cs="Calibri"/>
      <w:lang w:eastAsia="zh-CN" w:bidi="ar-SA"/>
    </w:rPr>
  </w:style>
  <w:style w:type="character" w:customStyle="1" w:styleId="normaltextrun">
    <w:name w:val="normaltextrun"/>
    <w:basedOn w:val="DefaultParagraphFont"/>
    <w:rsid w:val="002A40B2"/>
  </w:style>
  <w:style w:type="character" w:customStyle="1" w:styleId="eop">
    <w:name w:val="eop"/>
    <w:basedOn w:val="DefaultParagraphFont"/>
    <w:rsid w:val="002A40B2"/>
  </w:style>
  <w:style w:type="character" w:customStyle="1" w:styleId="superscript">
    <w:name w:val="superscript"/>
    <w:basedOn w:val="DefaultParagraphFont"/>
    <w:rsid w:val="002A40B2"/>
  </w:style>
  <w:style w:type="paragraph" w:customStyle="1" w:styleId="SingleTxtG">
    <w:name w:val="_ Single Txt_G"/>
    <w:basedOn w:val="Normal"/>
    <w:link w:val="SingleTxtGChar"/>
    <w:rsid w:val="00AC458A"/>
    <w:pPr>
      <w:tabs>
        <w:tab w:val="left" w:pos="1701"/>
        <w:tab w:val="left" w:pos="2268"/>
      </w:tabs>
      <w:suppressAutoHyphens/>
      <w:spacing w:after="120" w:line="240" w:lineRule="atLeast"/>
      <w:ind w:left="1134" w:right="1134"/>
      <w:jc w:val="both"/>
    </w:pPr>
    <w:rPr>
      <w:rFonts w:ascii="Times New Roman" w:eastAsia="SimSun" w:hAnsi="Times New Roman" w:cs="Times New Roman"/>
      <w:sz w:val="20"/>
      <w:szCs w:val="20"/>
      <w:lang w:val="en-GB" w:eastAsia="zh-CN" w:bidi="ar-SA"/>
    </w:rPr>
  </w:style>
  <w:style w:type="character" w:customStyle="1" w:styleId="SingleTxtGChar">
    <w:name w:val="_ Single Txt_G Char"/>
    <w:basedOn w:val="DefaultParagraphFont"/>
    <w:link w:val="SingleTxtG"/>
    <w:rsid w:val="00AC458A"/>
    <w:rPr>
      <w:rFonts w:ascii="Times New Roman" w:eastAsia="SimSun" w:hAnsi="Times New Roman" w:cs="Times New Roman"/>
      <w:lang w:val="en-GB" w:eastAsia="zh-CN" w:bidi="ar-SA"/>
    </w:r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fn"/>
    <w:basedOn w:val="Normal"/>
    <w:link w:val="FootnoteTextChar"/>
    <w:unhideWhenUsed/>
    <w:qFormat/>
    <w:rsid w:val="006D63C4"/>
    <w:pPr>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rsid w:val="006D63C4"/>
    <w:rPr>
      <w:rFonts w:asciiTheme="minorHAnsi" w:eastAsiaTheme="minorHAnsi" w:hAnsiTheme="minorHAnsi" w:cstheme="minorBidi"/>
      <w:lang w:eastAsia="en-US" w:bidi="ar-SA"/>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Ref"/>
    <w:basedOn w:val="DefaultParagraphFont"/>
    <w:link w:val="4GCharCharChar"/>
    <w:unhideWhenUsed/>
    <w:qFormat/>
    <w:rsid w:val="006D63C4"/>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6D63C4"/>
    <w:pPr>
      <w:spacing w:after="160" w:line="240" w:lineRule="exact"/>
      <w:jc w:val="both"/>
    </w:pPr>
    <w:rPr>
      <w:sz w:val="20"/>
      <w:szCs w:val="20"/>
      <w:vertAlign w:val="superscript"/>
      <w:lang w:eastAsia="en-NZ"/>
    </w:rPr>
  </w:style>
  <w:style w:type="character" w:styleId="FollowedHyperlink">
    <w:name w:val="FollowedHyperlink"/>
    <w:basedOn w:val="DefaultParagraphFont"/>
    <w:uiPriority w:val="99"/>
    <w:semiHidden/>
    <w:unhideWhenUsed/>
    <w:rsid w:val="005D34FF"/>
    <w:rPr>
      <w:color w:val="800080" w:themeColor="followedHyperlink"/>
      <w:u w:val="single"/>
    </w:rPr>
  </w:style>
  <w:style w:type="character" w:customStyle="1" w:styleId="ListParagraphChar">
    <w:name w:val="List Paragraph Char"/>
    <w:aliases w:val="List Paragraph numbered Char,List Bullet indent Char,Key msg Char,budget Char,additional Char,Rec para Char,List Paragraph1 Char,Recommendation Char,List Paragraph11 Char,graph Char,Level 3 Char,Bullet List Char,FooterText Char"/>
    <w:basedOn w:val="DefaultParagraphFont"/>
    <w:link w:val="ListParagraph"/>
    <w:uiPriority w:val="34"/>
    <w:locked/>
    <w:rsid w:val="000F6135"/>
    <w:rPr>
      <w:sz w:val="22"/>
      <w:szCs w:val="22"/>
      <w:lang w:eastAsia="en-US"/>
    </w:rPr>
  </w:style>
  <w:style w:type="paragraph" w:styleId="BodyText">
    <w:name w:val="Body Text"/>
    <w:basedOn w:val="Normal"/>
    <w:link w:val="BodyTextChar"/>
    <w:uiPriority w:val="99"/>
    <w:semiHidden/>
    <w:unhideWhenUsed/>
    <w:rsid w:val="0009390A"/>
    <w:pPr>
      <w:numPr>
        <w:numId w:val="9"/>
      </w:numPr>
      <w:spacing w:after="120" w:line="240" w:lineRule="auto"/>
    </w:pPr>
    <w:rPr>
      <w:rFonts w:eastAsiaTheme="minorHAnsi" w:cs="Calibri"/>
      <w:lang w:bidi="ar-SA"/>
    </w:rPr>
  </w:style>
  <w:style w:type="character" w:customStyle="1" w:styleId="BodyTextChar">
    <w:name w:val="Body Text Char"/>
    <w:basedOn w:val="DefaultParagraphFont"/>
    <w:link w:val="BodyText"/>
    <w:uiPriority w:val="99"/>
    <w:semiHidden/>
    <w:rsid w:val="0009390A"/>
    <w:rPr>
      <w:rFonts w:eastAsiaTheme="minorHAnsi" w:cs="Calibri"/>
      <w:sz w:val="22"/>
      <w:szCs w:val="22"/>
      <w:lang w:eastAsia="en-US" w:bidi="ar-SA"/>
    </w:rPr>
  </w:style>
  <w:style w:type="paragraph" w:styleId="NormalWeb">
    <w:name w:val="Normal (Web)"/>
    <w:basedOn w:val="Normal"/>
    <w:uiPriority w:val="99"/>
    <w:unhideWhenUsed/>
    <w:rsid w:val="00E90480"/>
    <w:pPr>
      <w:spacing w:before="100" w:beforeAutospacing="1" w:after="100" w:afterAutospacing="1" w:line="240" w:lineRule="auto"/>
    </w:pPr>
    <w:rPr>
      <w:rFonts w:eastAsiaTheme="minorEastAsia" w:cs="Calibri"/>
      <w:lang w:eastAsia="zh-CN" w:bidi="ar-SA"/>
    </w:rPr>
  </w:style>
  <w:style w:type="paragraph" w:customStyle="1" w:styleId="SSG">
    <w:name w:val="__S_S_G"/>
    <w:basedOn w:val="Normal"/>
    <w:next w:val="Normal"/>
    <w:rsid w:val="00AE4B34"/>
    <w:pPr>
      <w:keepNext/>
      <w:keepLines/>
      <w:suppressAutoHyphens/>
      <w:spacing w:before="240" w:after="240" w:line="300" w:lineRule="exact"/>
      <w:ind w:left="1134" w:right="1134"/>
    </w:pPr>
    <w:rPr>
      <w:rFonts w:ascii="Times New Roman" w:eastAsia="SimSun" w:hAnsi="Times New Roman" w:cs="Times New Roman"/>
      <w:b/>
      <w:sz w:val="28"/>
      <w:szCs w:val="20"/>
      <w:lang w:val="en-GB" w:eastAsia="zh-CN" w:bidi="ar-SA"/>
    </w:rPr>
  </w:style>
  <w:style w:type="character" w:customStyle="1" w:styleId="Heading1Char">
    <w:name w:val="Heading 1 Char"/>
    <w:basedOn w:val="DefaultParagraphFont"/>
    <w:link w:val="Heading1"/>
    <w:uiPriority w:val="9"/>
    <w:rsid w:val="00E217C0"/>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7878">
      <w:bodyDiv w:val="1"/>
      <w:marLeft w:val="0"/>
      <w:marRight w:val="0"/>
      <w:marTop w:val="0"/>
      <w:marBottom w:val="0"/>
      <w:divBdr>
        <w:top w:val="none" w:sz="0" w:space="0" w:color="auto"/>
        <w:left w:val="none" w:sz="0" w:space="0" w:color="auto"/>
        <w:bottom w:val="none" w:sz="0" w:space="0" w:color="auto"/>
        <w:right w:val="none" w:sz="0" w:space="0" w:color="auto"/>
      </w:divBdr>
    </w:div>
    <w:div w:id="394201581">
      <w:bodyDiv w:val="1"/>
      <w:marLeft w:val="0"/>
      <w:marRight w:val="0"/>
      <w:marTop w:val="0"/>
      <w:marBottom w:val="0"/>
      <w:divBdr>
        <w:top w:val="none" w:sz="0" w:space="0" w:color="auto"/>
        <w:left w:val="none" w:sz="0" w:space="0" w:color="auto"/>
        <w:bottom w:val="none" w:sz="0" w:space="0" w:color="auto"/>
        <w:right w:val="none" w:sz="0" w:space="0" w:color="auto"/>
      </w:divBdr>
    </w:div>
    <w:div w:id="724139550">
      <w:bodyDiv w:val="1"/>
      <w:marLeft w:val="0"/>
      <w:marRight w:val="0"/>
      <w:marTop w:val="0"/>
      <w:marBottom w:val="0"/>
      <w:divBdr>
        <w:top w:val="none" w:sz="0" w:space="0" w:color="auto"/>
        <w:left w:val="none" w:sz="0" w:space="0" w:color="auto"/>
        <w:bottom w:val="none" w:sz="0" w:space="0" w:color="auto"/>
        <w:right w:val="none" w:sz="0" w:space="0" w:color="auto"/>
      </w:divBdr>
    </w:div>
    <w:div w:id="1040591070">
      <w:bodyDiv w:val="1"/>
      <w:marLeft w:val="0"/>
      <w:marRight w:val="0"/>
      <w:marTop w:val="0"/>
      <w:marBottom w:val="0"/>
      <w:divBdr>
        <w:top w:val="none" w:sz="0" w:space="0" w:color="auto"/>
        <w:left w:val="none" w:sz="0" w:space="0" w:color="auto"/>
        <w:bottom w:val="none" w:sz="0" w:space="0" w:color="auto"/>
        <w:right w:val="none" w:sz="0" w:space="0" w:color="auto"/>
      </w:divBdr>
    </w:div>
    <w:div w:id="1500080147">
      <w:bodyDiv w:val="1"/>
      <w:marLeft w:val="0"/>
      <w:marRight w:val="0"/>
      <w:marTop w:val="0"/>
      <w:marBottom w:val="0"/>
      <w:divBdr>
        <w:top w:val="none" w:sz="0" w:space="0" w:color="auto"/>
        <w:left w:val="none" w:sz="0" w:space="0" w:color="auto"/>
        <w:bottom w:val="none" w:sz="0" w:space="0" w:color="auto"/>
        <w:right w:val="none" w:sz="0" w:space="0" w:color="auto"/>
      </w:divBdr>
      <w:divsChild>
        <w:div w:id="1829325895">
          <w:marLeft w:val="0"/>
          <w:marRight w:val="0"/>
          <w:marTop w:val="0"/>
          <w:marBottom w:val="0"/>
          <w:divBdr>
            <w:top w:val="none" w:sz="0" w:space="0" w:color="auto"/>
            <w:left w:val="none" w:sz="0" w:space="0" w:color="auto"/>
            <w:bottom w:val="none" w:sz="0" w:space="0" w:color="auto"/>
            <w:right w:val="none" w:sz="0" w:space="0" w:color="auto"/>
          </w:divBdr>
        </w:div>
      </w:divsChild>
    </w:div>
    <w:div w:id="1713454480">
      <w:bodyDiv w:val="1"/>
      <w:marLeft w:val="0"/>
      <w:marRight w:val="0"/>
      <w:marTop w:val="0"/>
      <w:marBottom w:val="0"/>
      <w:divBdr>
        <w:top w:val="none" w:sz="0" w:space="0" w:color="auto"/>
        <w:left w:val="none" w:sz="0" w:space="0" w:color="auto"/>
        <w:bottom w:val="none" w:sz="0" w:space="0" w:color="auto"/>
        <w:right w:val="none" w:sz="0" w:space="0" w:color="auto"/>
      </w:divBdr>
    </w:div>
    <w:div w:id="1774668886">
      <w:bodyDiv w:val="1"/>
      <w:marLeft w:val="0"/>
      <w:marRight w:val="0"/>
      <w:marTop w:val="0"/>
      <w:marBottom w:val="0"/>
      <w:divBdr>
        <w:top w:val="none" w:sz="0" w:space="0" w:color="auto"/>
        <w:left w:val="none" w:sz="0" w:space="0" w:color="auto"/>
        <w:bottom w:val="none" w:sz="0" w:space="0" w:color="auto"/>
        <w:right w:val="none" w:sz="0" w:space="0" w:color="auto"/>
      </w:divBdr>
    </w:div>
    <w:div w:id="1813792967">
      <w:bodyDiv w:val="1"/>
      <w:marLeft w:val="0"/>
      <w:marRight w:val="0"/>
      <w:marTop w:val="0"/>
      <w:marBottom w:val="0"/>
      <w:divBdr>
        <w:top w:val="none" w:sz="0" w:space="0" w:color="auto"/>
        <w:left w:val="none" w:sz="0" w:space="0" w:color="auto"/>
        <w:bottom w:val="none" w:sz="0" w:space="0" w:color="auto"/>
        <w:right w:val="none" w:sz="0" w:space="0" w:color="auto"/>
      </w:divBdr>
    </w:div>
    <w:div w:id="1820881648">
      <w:bodyDiv w:val="1"/>
      <w:marLeft w:val="0"/>
      <w:marRight w:val="0"/>
      <w:marTop w:val="0"/>
      <w:marBottom w:val="0"/>
      <w:divBdr>
        <w:top w:val="none" w:sz="0" w:space="0" w:color="auto"/>
        <w:left w:val="none" w:sz="0" w:space="0" w:color="auto"/>
        <w:bottom w:val="none" w:sz="0" w:space="0" w:color="auto"/>
        <w:right w:val="none" w:sz="0" w:space="0" w:color="auto"/>
      </w:divBdr>
    </w:div>
    <w:div w:id="19202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lo@ieag.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assets.education.govt.nz/public/Documents/Ministry/Budgets/Budget2019/NEGP/AucklandTaiTokerauplans.pdf" TargetMode="External"/><Relationship Id="rId13" Type="http://schemas.openxmlformats.org/officeDocument/2006/relationships/hyperlink" Target="https://www.whaikaha.govt.nz/assets/About-us/Cabinet-papers-and-information-releases/UNCRPD-cabinet-paper/Paper-United-Nations-Convention-on-the-Rights-of-Persons-with-Disabilities_-Government-Response-and-Proposed-Mechanisms-to-Support-Implementation.pdf" TargetMode="External"/><Relationship Id="rId3" Type="http://schemas.openxmlformats.org/officeDocument/2006/relationships/hyperlink" Target="https://assets.education.govt.nz/public/Documents/our-work/information-releases/Issue-Specific-release/Highest-Needs-Review-Cover-Sheet-CAB-Pack-Annex.pdf" TargetMode="External"/><Relationship Id="rId7" Type="http://schemas.openxmlformats.org/officeDocument/2006/relationships/hyperlink" Target="https://assets.education.govt.nz/public/Documents/our-work/information-releases/Advice-Seen-by-our-Ministers/September-2021/Cabinet-Paper-material_Redacted.pdf" TargetMode="External"/><Relationship Id="rId12" Type="http://schemas.openxmlformats.org/officeDocument/2006/relationships/hyperlink" Target="https://www.ihc.org.nz/news/disabled-students-5-000-times-more-likely-to-be-restrained-in-residential-specialist-schools" TargetMode="External"/><Relationship Id="rId2" Type="http://schemas.openxmlformats.org/officeDocument/2006/relationships/hyperlink" Target="https://ero.govt.nz/our-research/thriving-at-school-education-for-disabled-learners-in-schools" TargetMode="External"/><Relationship Id="rId1" Type="http://schemas.openxmlformats.org/officeDocument/2006/relationships/hyperlink" Target="https://www.stats.govt.nz/information-releases/labour-market-statistics-disability-june-2023-quarter/" TargetMode="External"/><Relationship Id="rId6" Type="http://schemas.openxmlformats.org/officeDocument/2006/relationships/hyperlink" Target="https://www.educationcounts.govt.nz/statistics/school-rolls" TargetMode="External"/><Relationship Id="rId11" Type="http://schemas.openxmlformats.org/officeDocument/2006/relationships/hyperlink" Target="https://ihc.org.nz/strong-voices/human-rights-experts-hear-parents" TargetMode="External"/><Relationship Id="rId5" Type="http://schemas.openxmlformats.org/officeDocument/2006/relationships/hyperlink" Target="https://disability.royalcommission.gov.au/system/files/2022-06/Public%20hearing%2024%20-%20Andrew%20Byrnes%20(2020)%20Analysis%20of%20Article%2024%20of%20the%20CRPD%20and%20note%20on%20the%20travaux%20pr%C3%A9paratoires_1.pdf?fs=e&amp;s=cl" TargetMode="External"/><Relationship Id="rId10" Type="http://schemas.openxmlformats.org/officeDocument/2006/relationships/hyperlink" Target="https://tbinternet.ohchr.org/_layouts/15/treatybodyexternal/Download.aspx?symbolno=CRPD/C/NZL/CO/2-3&amp;Lang=en&amp;fbclid=IwAR3tk8UewYKYRT7ELHWGOOwqC2zRE-N_NPu-hMAslu7LVNWSpYpmHfwZDGA" TargetMode="External"/><Relationship Id="rId4" Type="http://schemas.openxmlformats.org/officeDocument/2006/relationships/hyperlink" Target="https://assets.education.govt.nz/public/Documents/Ministry/Legislation/ETB/Strengthening-the-right-to-education-by-confirming-the-right-to-attendan....pdf" TargetMode="External"/><Relationship Id="rId9" Type="http://schemas.openxmlformats.org/officeDocument/2006/relationships/hyperlink" Target="https://www.beehive.govt.nz/release/government-build-new-schools-and-classrooms-100000-stud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76E24-4915-415D-AAFF-DC7E457D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c:creator>
  <cp:lastModifiedBy>Heather Lear</cp:lastModifiedBy>
  <cp:revision>2</cp:revision>
  <cp:lastPrinted>2023-10-11T21:19:00Z</cp:lastPrinted>
  <dcterms:created xsi:type="dcterms:W3CDTF">2023-11-21T05:56:00Z</dcterms:created>
  <dcterms:modified xsi:type="dcterms:W3CDTF">2023-11-21T05:56:00Z</dcterms:modified>
</cp:coreProperties>
</file>